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03B9" w14:textId="13AA1E49" w:rsidR="008717DB" w:rsidRDefault="00DC37E5" w:rsidP="008717DB">
      <w:pPr>
        <w:pStyle w:val="NormalWeb"/>
      </w:pPr>
      <w:r w:rsidRPr="00C657BD">
        <w:rPr>
          <w:rFonts w:ascii="Century Gothic" w:hAnsi="Century Gothic"/>
          <w:noProof/>
        </w:rPr>
        <mc:AlternateContent>
          <mc:Choice Requires="wps">
            <w:drawing>
              <wp:anchor distT="0" distB="0" distL="114300" distR="114300" simplePos="0" relativeHeight="251662336" behindDoc="0" locked="0" layoutInCell="1" allowOverlap="1" wp14:anchorId="68E9FF15" wp14:editId="12F418B3">
                <wp:simplePos x="0" y="0"/>
                <wp:positionH relativeFrom="page">
                  <wp:posOffset>935677</wp:posOffset>
                </wp:positionH>
                <wp:positionV relativeFrom="page">
                  <wp:posOffset>164152</wp:posOffset>
                </wp:positionV>
                <wp:extent cx="6705600" cy="1514475"/>
                <wp:effectExtent l="0" t="0" r="0" b="0"/>
                <wp:wrapTopAndBottom/>
                <wp:docPr id="2004722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514475"/>
                        </a:xfrm>
                        <a:prstGeom prst="rect">
                          <a:avLst/>
                        </a:prstGeom>
                        <a:noFill/>
                        <a:ln w="9525">
                          <a:noFill/>
                          <a:miter lim="800000"/>
                          <a:headEnd/>
                          <a:tailEnd/>
                        </a:ln>
                      </wps:spPr>
                      <wps:txbx>
                        <w:txbxContent>
                          <w:p w14:paraId="3EC01C31" w14:textId="769767B0" w:rsidR="00E95CAE" w:rsidRPr="00DC37E5" w:rsidRDefault="004B0F3C" w:rsidP="00E95CAE">
                            <w:pPr>
                              <w:spacing w:line="240" w:lineRule="auto"/>
                              <w:rPr>
                                <w:rFonts w:ascii="Century Gothic" w:hAnsi="Century Gothic"/>
                                <w:color w:val="FFFFFF" w:themeColor="background1"/>
                                <w:sz w:val="32"/>
                                <w:szCs w:val="32"/>
                              </w:rPr>
                            </w:pPr>
                            <w:r w:rsidRPr="00DC37E5">
                              <w:rPr>
                                <w:rFonts w:ascii="Century Gothic" w:hAnsi="Century Gothic"/>
                                <w:color w:val="FFFFFF" w:themeColor="background1"/>
                                <w:sz w:val="32"/>
                                <w:szCs w:val="32"/>
                              </w:rPr>
                              <w:t xml:space="preserve">Community Planning and Capacity Building &amp; Economic </w:t>
                            </w:r>
                          </w:p>
                          <w:p w14:paraId="6B0656F8" w14:textId="77777777" w:rsidR="00E95CAE" w:rsidRPr="00DC37E5" w:rsidRDefault="00E95CAE" w:rsidP="00E95CAE">
                            <w:pPr>
                              <w:spacing w:line="240" w:lineRule="auto"/>
                              <w:rPr>
                                <w:rFonts w:ascii="Century Gothic" w:hAnsi="Century Gothic"/>
                                <w:color w:val="FFFFFF" w:themeColor="background1"/>
                                <w:sz w:val="32"/>
                                <w:szCs w:val="32"/>
                              </w:rPr>
                            </w:pPr>
                            <w:r w:rsidRPr="00DC37E5">
                              <w:rPr>
                                <w:rFonts w:ascii="Century Gothic" w:hAnsi="Century Gothic"/>
                                <w:color w:val="FFFFFF" w:themeColor="background1"/>
                                <w:sz w:val="32"/>
                                <w:szCs w:val="32"/>
                              </w:rPr>
                              <w:t xml:space="preserve">Recovery Support Function </w:t>
                            </w:r>
                          </w:p>
                          <w:p w14:paraId="6D4359C2" w14:textId="77777777" w:rsidR="00E95CAE" w:rsidRPr="00DC37E5" w:rsidRDefault="00E95CAE" w:rsidP="00E95CAE">
                            <w:pPr>
                              <w:spacing w:line="240" w:lineRule="auto"/>
                              <w:rPr>
                                <w:rFonts w:ascii="Century Gothic" w:hAnsi="Century Gothic"/>
                                <w:i/>
                                <w:iCs/>
                                <w:color w:val="FFFFFF" w:themeColor="background1"/>
                                <w:sz w:val="32"/>
                                <w:szCs w:val="32"/>
                              </w:rPr>
                            </w:pPr>
                            <w:r w:rsidRPr="00DC37E5">
                              <w:rPr>
                                <w:rFonts w:ascii="Century Gothic" w:hAnsi="Century Gothic"/>
                                <w:i/>
                                <w:iCs/>
                                <w:color w:val="FFFFFF" w:themeColor="background1"/>
                                <w:sz w:val="32"/>
                                <w:szCs w:val="32"/>
                              </w:rPr>
                              <w:t xml:space="preserve">Bi-Monthly Bulletin </w:t>
                            </w:r>
                          </w:p>
                          <w:p w14:paraId="4BD75672" w14:textId="047A78FA" w:rsidR="00E95CAE" w:rsidRPr="00DC37E5" w:rsidRDefault="004B0F3C" w:rsidP="00E95CAE">
                            <w:pPr>
                              <w:spacing w:line="240" w:lineRule="auto"/>
                              <w:rPr>
                                <w:rFonts w:ascii="Century Gothic" w:hAnsi="Century Gothic"/>
                                <w:i/>
                                <w:iCs/>
                                <w:color w:val="FFFFFF" w:themeColor="background1"/>
                                <w:sz w:val="32"/>
                                <w:szCs w:val="32"/>
                              </w:rPr>
                            </w:pPr>
                            <w:r w:rsidRPr="00DC37E5">
                              <w:rPr>
                                <w:rFonts w:ascii="Century Gothic" w:hAnsi="Century Gothic"/>
                                <w:i/>
                                <w:iCs/>
                                <w:color w:val="FFFFFF" w:themeColor="background1"/>
                                <w:sz w:val="32"/>
                                <w:szCs w:val="32"/>
                              </w:rPr>
                              <w:t>November</w:t>
                            </w:r>
                            <w:r w:rsidR="00E95CAE" w:rsidRPr="00DC37E5">
                              <w:rPr>
                                <w:rFonts w:ascii="Century Gothic" w:hAnsi="Century Gothic"/>
                                <w:i/>
                                <w:iCs/>
                                <w:color w:val="FFFFFF" w:themeColor="background1"/>
                                <w:sz w:val="32"/>
                                <w:szCs w:val="32"/>
                              </w:rPr>
                              <w:t xml:space="preserve"> </w:t>
                            </w:r>
                            <w:r w:rsidRPr="00DC37E5">
                              <w:rPr>
                                <w:rFonts w:ascii="Century Gothic" w:hAnsi="Century Gothic"/>
                                <w:i/>
                                <w:iCs/>
                                <w:color w:val="FFFFFF" w:themeColor="background1"/>
                                <w:sz w:val="32"/>
                                <w:szCs w:val="32"/>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9FF15" id="_x0000_t202" coordsize="21600,21600" o:spt="202" path="m,l,21600r21600,l21600,xe">
                <v:stroke joinstyle="miter"/>
                <v:path gradientshapeok="t" o:connecttype="rect"/>
              </v:shapetype>
              <v:shape id="Text Box 2" o:spid="_x0000_s1026" type="#_x0000_t202" style="position:absolute;margin-left:73.7pt;margin-top:12.95pt;width:528pt;height:11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xz9wEAAM4DAAAOAAAAZHJzL2Uyb0RvYy54bWysU9Fu2yAUfZ+0f0C8L7ajOGmtOFXXrtOk&#10;rpvU7QMwxjEacBmQ2NnX74LdNNrepvkBcX3h3HvOPWxvRq3IUTgvwdS0WOSUCMOhlWZf0+/fHt5d&#10;UeIDMy1TYERNT8LTm93bN9vBVmIJPahWOIIgxleDrWkfgq2yzPNeaOYXYIXBZAdOs4Ch22etYwOi&#10;a5Ut83ydDeBa64AL7/Hv/ZSku4TfdYKHL13nRSCqpthbSKtLaxPXbLdl1d4x20s+t8H+oQvNpMGi&#10;Z6h7Fhg5OPkXlJbcgYcuLDjoDLpOcpE4IJsi/4PNc8+sSFxQHG/PMvn/B8ufjs/2qyNhfA8jDjCR&#10;8PYR+A9PDNz1zOzFrXMw9IK1WLiIkmWD9dV8NUrtKx9BmuEztDhkdgiQgMbO6agK8iSIjgM4nUUX&#10;YyAcf643ebnOMcUxV5TFarUpUw1WvVy3zoePAjSJm5o6nGqCZ8dHH2I7rHo5EqsZeJBKpckqQ4aa&#10;XpfLMl24yGgZ0HhK6ppe5fGbrBBZfjBtuhyYVNMeCygz045MJ85hbEY8GOk30J5QAAeTwfBB4KYH&#10;94uSAc1VU//zwJygRH0yKOI1soxuTMGq3CwxcJeZ5jLDDEeomgZKpu1dSA6euN6i2J1MMrx2MveK&#10;pknqzAaPrryM06nXZ7j7DQAA//8DAFBLAwQUAAYACAAAACEAo1YhZd0AAAALAQAADwAAAGRycy9k&#10;b3ducmV2LnhtbEyPwU7DMBBE70j8g7VI3KhNcAsNcSoE4gpqoZW4ufE2iYjXUew24e/ZnuA4s0+z&#10;M8Vq8p044RDbQAZuZwoEUhVcS7WBz4/XmwcQMVlytguEBn4wwqq8vChs7sJIazxtUi04hGJuDTQp&#10;9bmUsWrQ2zgLPRLfDmHwNrEcaukGO3K472Sm1EJ62xJ/aGyPzw1W35ujN7B9O3zttHqvX/y8H8Ok&#10;JPmlNOb6anp6BJFwSn8wnOtzdSi50z4cyUXRsdb3mlED2XwJ4gxk6o6dPTsLrUGWhfy/ofwFAAD/&#10;/wMAUEsBAi0AFAAGAAgAAAAhALaDOJL+AAAA4QEAABMAAAAAAAAAAAAAAAAAAAAAAFtDb250ZW50&#10;X1R5cGVzXS54bWxQSwECLQAUAAYACAAAACEAOP0h/9YAAACUAQAACwAAAAAAAAAAAAAAAAAvAQAA&#10;X3JlbHMvLnJlbHNQSwECLQAUAAYACAAAACEAk298c/cBAADOAwAADgAAAAAAAAAAAAAAAAAuAgAA&#10;ZHJzL2Uyb0RvYy54bWxQSwECLQAUAAYACAAAACEAo1YhZd0AAAALAQAADwAAAAAAAAAAAAAAAABR&#10;BAAAZHJzL2Rvd25yZXYueG1sUEsFBgAAAAAEAAQA8wAAAFsFAAAAAA==&#10;" filled="f" stroked="f">
                <v:textbox>
                  <w:txbxContent>
                    <w:p w14:paraId="3EC01C31" w14:textId="769767B0" w:rsidR="00E95CAE" w:rsidRPr="00DC37E5" w:rsidRDefault="004B0F3C" w:rsidP="00E95CAE">
                      <w:pPr>
                        <w:spacing w:line="240" w:lineRule="auto"/>
                        <w:rPr>
                          <w:rFonts w:ascii="Century Gothic" w:hAnsi="Century Gothic"/>
                          <w:color w:val="FFFFFF" w:themeColor="background1"/>
                          <w:sz w:val="32"/>
                          <w:szCs w:val="32"/>
                        </w:rPr>
                      </w:pPr>
                      <w:r w:rsidRPr="00DC37E5">
                        <w:rPr>
                          <w:rFonts w:ascii="Century Gothic" w:hAnsi="Century Gothic"/>
                          <w:color w:val="FFFFFF" w:themeColor="background1"/>
                          <w:sz w:val="32"/>
                          <w:szCs w:val="32"/>
                        </w:rPr>
                        <w:t xml:space="preserve">Community Planning and Capacity Building &amp; Economic </w:t>
                      </w:r>
                    </w:p>
                    <w:p w14:paraId="6B0656F8" w14:textId="77777777" w:rsidR="00E95CAE" w:rsidRPr="00DC37E5" w:rsidRDefault="00E95CAE" w:rsidP="00E95CAE">
                      <w:pPr>
                        <w:spacing w:line="240" w:lineRule="auto"/>
                        <w:rPr>
                          <w:rFonts w:ascii="Century Gothic" w:hAnsi="Century Gothic"/>
                          <w:color w:val="FFFFFF" w:themeColor="background1"/>
                          <w:sz w:val="32"/>
                          <w:szCs w:val="32"/>
                        </w:rPr>
                      </w:pPr>
                      <w:r w:rsidRPr="00DC37E5">
                        <w:rPr>
                          <w:rFonts w:ascii="Century Gothic" w:hAnsi="Century Gothic"/>
                          <w:color w:val="FFFFFF" w:themeColor="background1"/>
                          <w:sz w:val="32"/>
                          <w:szCs w:val="32"/>
                        </w:rPr>
                        <w:t xml:space="preserve">Recovery Support Function </w:t>
                      </w:r>
                    </w:p>
                    <w:p w14:paraId="6D4359C2" w14:textId="77777777" w:rsidR="00E95CAE" w:rsidRPr="00DC37E5" w:rsidRDefault="00E95CAE" w:rsidP="00E95CAE">
                      <w:pPr>
                        <w:spacing w:line="240" w:lineRule="auto"/>
                        <w:rPr>
                          <w:rFonts w:ascii="Century Gothic" w:hAnsi="Century Gothic"/>
                          <w:i/>
                          <w:iCs/>
                          <w:color w:val="FFFFFF" w:themeColor="background1"/>
                          <w:sz w:val="32"/>
                          <w:szCs w:val="32"/>
                        </w:rPr>
                      </w:pPr>
                      <w:r w:rsidRPr="00DC37E5">
                        <w:rPr>
                          <w:rFonts w:ascii="Century Gothic" w:hAnsi="Century Gothic"/>
                          <w:i/>
                          <w:iCs/>
                          <w:color w:val="FFFFFF" w:themeColor="background1"/>
                          <w:sz w:val="32"/>
                          <w:szCs w:val="32"/>
                        </w:rPr>
                        <w:t xml:space="preserve">Bi-Monthly Bulletin </w:t>
                      </w:r>
                    </w:p>
                    <w:p w14:paraId="4BD75672" w14:textId="047A78FA" w:rsidR="00E95CAE" w:rsidRPr="00DC37E5" w:rsidRDefault="004B0F3C" w:rsidP="00E95CAE">
                      <w:pPr>
                        <w:spacing w:line="240" w:lineRule="auto"/>
                        <w:rPr>
                          <w:rFonts w:ascii="Century Gothic" w:hAnsi="Century Gothic"/>
                          <w:i/>
                          <w:iCs/>
                          <w:color w:val="FFFFFF" w:themeColor="background1"/>
                          <w:sz w:val="32"/>
                          <w:szCs w:val="32"/>
                        </w:rPr>
                      </w:pPr>
                      <w:r w:rsidRPr="00DC37E5">
                        <w:rPr>
                          <w:rFonts w:ascii="Century Gothic" w:hAnsi="Century Gothic"/>
                          <w:i/>
                          <w:iCs/>
                          <w:color w:val="FFFFFF" w:themeColor="background1"/>
                          <w:sz w:val="32"/>
                          <w:szCs w:val="32"/>
                        </w:rPr>
                        <w:t>November</w:t>
                      </w:r>
                      <w:r w:rsidR="00E95CAE" w:rsidRPr="00DC37E5">
                        <w:rPr>
                          <w:rFonts w:ascii="Century Gothic" w:hAnsi="Century Gothic"/>
                          <w:i/>
                          <w:iCs/>
                          <w:color w:val="FFFFFF" w:themeColor="background1"/>
                          <w:sz w:val="32"/>
                          <w:szCs w:val="32"/>
                        </w:rPr>
                        <w:t xml:space="preserve"> </w:t>
                      </w:r>
                      <w:r w:rsidRPr="00DC37E5">
                        <w:rPr>
                          <w:rFonts w:ascii="Century Gothic" w:hAnsi="Century Gothic"/>
                          <w:i/>
                          <w:iCs/>
                          <w:color w:val="FFFFFF" w:themeColor="background1"/>
                          <w:sz w:val="32"/>
                          <w:szCs w:val="32"/>
                        </w:rPr>
                        <w:t>2024</w:t>
                      </w:r>
                    </w:p>
                  </w:txbxContent>
                </v:textbox>
                <w10:wrap type="topAndBottom" anchorx="page" anchory="page"/>
              </v:shape>
            </w:pict>
          </mc:Fallback>
        </mc:AlternateContent>
      </w:r>
      <w:r w:rsidR="00394774">
        <w:rPr>
          <w:rFonts w:ascii="Century Gothic" w:hAnsi="Century Gothic"/>
          <w:b/>
          <w:bCs/>
          <w:color w:val="002060"/>
          <w:position w:val="6"/>
          <w:sz w:val="34"/>
          <w:szCs w:val="34"/>
          <w:u w:val="thick" w:color="C00000"/>
        </w:rPr>
        <w:br/>
      </w:r>
      <w:r w:rsidR="005507CE">
        <w:rPr>
          <w:rFonts w:ascii="Century Gothic" w:hAnsi="Century Gothic"/>
          <w:b/>
          <w:bCs/>
          <w:color w:val="002060"/>
          <w:position w:val="6"/>
          <w:sz w:val="34"/>
          <w:szCs w:val="34"/>
          <w:u w:val="thick" w:color="C00000"/>
        </w:rPr>
        <w:t>Funding Opportunities</w:t>
      </w:r>
      <w:r w:rsidR="008717DB" w:rsidRPr="00E95CAE">
        <w:rPr>
          <w:rFonts w:ascii="Century Gothic" w:hAnsi="Century Gothic"/>
          <w:b/>
          <w:bCs/>
          <w:color w:val="002060"/>
          <w:sz w:val="34"/>
          <w:szCs w:val="34"/>
          <w:u w:val="thick" w:color="C00000"/>
        </w:rPr>
        <w:t>__</w:t>
      </w:r>
      <w:r w:rsidR="008717DB">
        <w:rPr>
          <w:rFonts w:ascii="Century Gothic" w:hAnsi="Century Gothic"/>
          <w:b/>
          <w:bCs/>
          <w:color w:val="002060"/>
          <w:sz w:val="36"/>
          <w:szCs w:val="36"/>
          <w:u w:val="thick" w:color="C00000"/>
        </w:rPr>
        <w:t>______________________________________</w:t>
      </w:r>
    </w:p>
    <w:p w14:paraId="596AB153" w14:textId="77777777" w:rsidR="00211C7D" w:rsidRDefault="00394774" w:rsidP="00211C7D">
      <w:pPr>
        <w:pStyle w:val="NormalWeb"/>
        <w:jc w:val="both"/>
        <w:rPr>
          <w:rStyle w:val="Hyperlink"/>
          <w:rFonts w:ascii="Century Gothic" w:hAnsi="Century Gothic"/>
        </w:rPr>
      </w:pPr>
      <w:r w:rsidRPr="00462EC9">
        <w:rPr>
          <w:rFonts w:ascii="Century Gothic" w:hAnsi="Century Gothic"/>
          <w:noProof/>
        </w:rPr>
        <w:drawing>
          <wp:anchor distT="0" distB="0" distL="114300" distR="114300" simplePos="0" relativeHeight="251657216" behindDoc="0" locked="1" layoutInCell="1" allowOverlap="1" wp14:anchorId="56FCE43D" wp14:editId="4387F385">
            <wp:simplePos x="0" y="0"/>
            <wp:positionH relativeFrom="column">
              <wp:posOffset>-485775</wp:posOffset>
            </wp:positionH>
            <wp:positionV relativeFrom="page">
              <wp:posOffset>0</wp:posOffset>
            </wp:positionV>
            <wp:extent cx="8034020" cy="1600200"/>
            <wp:effectExtent l="0" t="0" r="5080" b="0"/>
            <wp:wrapTopAndBottom/>
            <wp:docPr id="10714582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9237"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03402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2" w:history="1">
        <w:r w:rsidR="00112F1E" w:rsidRPr="00462EC9">
          <w:rPr>
            <w:rStyle w:val="Hyperlink"/>
            <w:rFonts w:ascii="Century Gothic" w:hAnsi="Century Gothic"/>
          </w:rPr>
          <w:t>U.S. Environmental Protection Agency</w:t>
        </w:r>
        <w:r w:rsidR="00A227BC" w:rsidRPr="00462EC9">
          <w:rPr>
            <w:rStyle w:val="Hyperlink"/>
            <w:rFonts w:ascii="Century Gothic" w:hAnsi="Century Gothic"/>
          </w:rPr>
          <w:t>,</w:t>
        </w:r>
        <w:r w:rsidR="00112F1E" w:rsidRPr="00462EC9">
          <w:rPr>
            <w:rStyle w:val="Hyperlink"/>
            <w:rFonts w:ascii="Century Gothic" w:hAnsi="Century Gothic"/>
          </w:rPr>
          <w:t xml:space="preserve"> Community Change Grant</w:t>
        </w:r>
      </w:hyperlink>
      <w:r w:rsidR="008B1861" w:rsidRPr="00462EC9">
        <w:rPr>
          <w:rStyle w:val="Hyperlink"/>
          <w:rFonts w:ascii="Century Gothic" w:hAnsi="Century Gothic"/>
        </w:rPr>
        <w:t xml:space="preserve"> Program</w:t>
      </w:r>
    </w:p>
    <w:p w14:paraId="6E75F1CA" w14:textId="77777777" w:rsidR="00211C7D" w:rsidRPr="00211C7D" w:rsidRDefault="00211C7D" w:rsidP="00211C7D">
      <w:pPr>
        <w:pStyle w:val="NormalWeb"/>
        <w:jc w:val="both"/>
        <w:rPr>
          <w:rFonts w:ascii="Century Gothic" w:hAnsi="Century Gothic"/>
          <w:color w:val="000000"/>
        </w:rPr>
      </w:pPr>
      <w:r w:rsidRPr="00211C7D">
        <w:rPr>
          <w:rFonts w:ascii="Century Gothic" w:hAnsi="Century Gothic"/>
          <w:color w:val="000000"/>
        </w:rPr>
        <w:t>EPA’s new Community Change Grants program announced a Notice of Funding Opportunity (NOFO) for approximately $2 billion in Inflation Reduction Act (IRA) funds in environmental and climate justice activities to benefit disadvantaged communities through projects that reduce pollution, increase community climate resilience, and build community capacity to address environmental and climate justice challenges. These place-based investments will be focused on community-driven initiatives to be responsive to community and stakeholder input.</w:t>
      </w:r>
    </w:p>
    <w:p w14:paraId="662E5774" w14:textId="0C67763C" w:rsidR="00F852DD" w:rsidRPr="00462EC9" w:rsidRDefault="00000000" w:rsidP="00211C7D">
      <w:pPr>
        <w:pStyle w:val="NormalWeb"/>
        <w:numPr>
          <w:ilvl w:val="0"/>
          <w:numId w:val="9"/>
        </w:numPr>
        <w:jc w:val="both"/>
        <w:rPr>
          <w:rStyle w:val="Hyperlink"/>
          <w:rFonts w:ascii="Century Gothic" w:hAnsi="Century Gothic"/>
          <w:b/>
          <w:bCs/>
          <w:color w:val="auto"/>
          <w:u w:val="none"/>
        </w:rPr>
      </w:pPr>
      <w:hyperlink r:id="rId13" w:history="1">
        <w:r w:rsidR="006E6B8D" w:rsidRPr="00462EC9">
          <w:rPr>
            <w:rStyle w:val="Hyperlink"/>
            <w:rFonts w:ascii="Century Gothic" w:hAnsi="Century Gothic"/>
            <w:b/>
            <w:bCs/>
            <w:color w:val="auto"/>
          </w:rPr>
          <w:t>Applications are due November 21, 2024</w:t>
        </w:r>
      </w:hyperlink>
    </w:p>
    <w:p w14:paraId="3939B8F6" w14:textId="77777777" w:rsidR="00A96DAA" w:rsidRPr="00462EC9" w:rsidRDefault="00A96DAA" w:rsidP="00E92447">
      <w:pPr>
        <w:pStyle w:val="NormalWeb"/>
        <w:spacing w:before="0" w:beforeAutospacing="0" w:after="0" w:afterAutospacing="0"/>
        <w:rPr>
          <w:rStyle w:val="Hyperlink"/>
          <w:rFonts w:ascii="Century Gothic" w:hAnsi="Century Gothic"/>
          <w:b/>
          <w:bCs/>
          <w:color w:val="auto"/>
          <w:u w:val="none"/>
        </w:rPr>
      </w:pPr>
    </w:p>
    <w:p w14:paraId="6735E564" w14:textId="77777777" w:rsidR="00F852DD" w:rsidRPr="00462EC9" w:rsidRDefault="00000000" w:rsidP="00E92447">
      <w:pPr>
        <w:pStyle w:val="NormalWeb"/>
        <w:spacing w:before="0" w:beforeAutospacing="0"/>
        <w:rPr>
          <w:rFonts w:ascii="Century Gothic" w:hAnsi="Century Gothic"/>
          <w:color w:val="454545"/>
          <w:shd w:val="clear" w:color="auto" w:fill="FFFFFF"/>
        </w:rPr>
      </w:pPr>
      <w:hyperlink r:id="rId14" w:history="1">
        <w:r w:rsidR="00F852DD" w:rsidRPr="00462EC9">
          <w:rPr>
            <w:rStyle w:val="Hyperlink"/>
            <w:rFonts w:ascii="Century Gothic" w:hAnsi="Century Gothic"/>
            <w:shd w:val="clear" w:color="auto" w:fill="FFFFFF"/>
          </w:rPr>
          <w:t>Rural Business De</w:t>
        </w:r>
        <w:r w:rsidR="00F852DD" w:rsidRPr="00462EC9">
          <w:rPr>
            <w:rStyle w:val="Hyperlink"/>
            <w:rFonts w:ascii="Century Gothic" w:hAnsi="Century Gothic"/>
            <w:shd w:val="clear" w:color="auto" w:fill="FFFFFF"/>
          </w:rPr>
          <w:t>v</w:t>
        </w:r>
        <w:r w:rsidR="00F852DD" w:rsidRPr="00462EC9">
          <w:rPr>
            <w:rStyle w:val="Hyperlink"/>
            <w:rFonts w:ascii="Century Gothic" w:hAnsi="Century Gothic"/>
            <w:shd w:val="clear" w:color="auto" w:fill="FFFFFF"/>
          </w:rPr>
          <w:t>elopment Grant Program</w:t>
        </w:r>
      </w:hyperlink>
    </w:p>
    <w:p w14:paraId="41DFEEE7" w14:textId="372037D1" w:rsidR="00F852DD" w:rsidRPr="00462EC9" w:rsidRDefault="00362532" w:rsidP="00E92447">
      <w:pPr>
        <w:pStyle w:val="NormalWeb"/>
        <w:spacing w:before="0" w:beforeAutospacing="0"/>
        <w:jc w:val="both"/>
        <w:rPr>
          <w:rFonts w:ascii="Century Gothic" w:hAnsi="Century Gothic"/>
        </w:rPr>
      </w:pPr>
      <w:r w:rsidRPr="00462EC9">
        <w:rPr>
          <w:rFonts w:ascii="Century Gothic" w:hAnsi="Century Gothic"/>
        </w:rPr>
        <w:t>G</w:t>
      </w:r>
      <w:r w:rsidR="00B419A4" w:rsidRPr="00462EC9">
        <w:rPr>
          <w:rFonts w:ascii="Century Gothic" w:hAnsi="Century Gothic"/>
        </w:rPr>
        <w:t>rant</w:t>
      </w:r>
      <w:r w:rsidR="00285023">
        <w:rPr>
          <w:rFonts w:ascii="Century Gothic" w:hAnsi="Century Gothic"/>
        </w:rPr>
        <w:t xml:space="preserve"> opportunity </w:t>
      </w:r>
      <w:r w:rsidR="00B419A4" w:rsidRPr="00462EC9">
        <w:rPr>
          <w:rFonts w:ascii="Century Gothic" w:hAnsi="Century Gothic"/>
        </w:rPr>
        <w:t>from the U.S. Department of Agricultur</w:t>
      </w:r>
      <w:r w:rsidR="00285023">
        <w:rPr>
          <w:rFonts w:ascii="Century Gothic" w:hAnsi="Century Gothic"/>
        </w:rPr>
        <w:t xml:space="preserve">e’s Rural Business-Cooperative Service program </w:t>
      </w:r>
      <w:r w:rsidRPr="00462EC9">
        <w:rPr>
          <w:rFonts w:ascii="Century Gothic" w:hAnsi="Century Gothic"/>
        </w:rPr>
        <w:t xml:space="preserve">that </w:t>
      </w:r>
      <w:r w:rsidR="003504EA" w:rsidRPr="00462EC9">
        <w:rPr>
          <w:rFonts w:ascii="Century Gothic" w:hAnsi="Century Gothic"/>
        </w:rPr>
        <w:t>promote</w:t>
      </w:r>
      <w:r w:rsidR="00CF136D" w:rsidRPr="00462EC9">
        <w:rPr>
          <w:rFonts w:ascii="Century Gothic" w:hAnsi="Century Gothic"/>
        </w:rPr>
        <w:t>s</w:t>
      </w:r>
      <w:r w:rsidR="003504EA" w:rsidRPr="00462EC9">
        <w:rPr>
          <w:rFonts w:ascii="Century Gothic" w:hAnsi="Century Gothic"/>
        </w:rPr>
        <w:t xml:space="preserve"> economic development and job creation projects through the awarding of grant funds to eligible entities</w:t>
      </w:r>
      <w:r w:rsidR="00B419A4" w:rsidRPr="00462EC9">
        <w:rPr>
          <w:rFonts w:ascii="Century Gothic" w:hAnsi="Century Gothic"/>
        </w:rPr>
        <w:t xml:space="preserve"> (please see link above for list of eligible applicants)</w:t>
      </w:r>
      <w:r w:rsidR="003504EA" w:rsidRPr="00462EC9">
        <w:rPr>
          <w:rFonts w:ascii="Century Gothic" w:hAnsi="Century Gothic"/>
        </w:rPr>
        <w:t>. Applica</w:t>
      </w:r>
      <w:r w:rsidR="00DC775B" w:rsidRPr="00462EC9">
        <w:rPr>
          <w:rFonts w:ascii="Century Gothic" w:hAnsi="Century Gothic"/>
        </w:rPr>
        <w:t>nts</w:t>
      </w:r>
      <w:r w:rsidR="003504EA" w:rsidRPr="00462EC9">
        <w:rPr>
          <w:rFonts w:ascii="Century Gothic" w:hAnsi="Century Gothic"/>
        </w:rPr>
        <w:t xml:space="preserve"> will compete in two separate categories: business opportunity grants and business enterprise grants, for use in funding various business and community projects that serve rural areas.</w:t>
      </w:r>
    </w:p>
    <w:p w14:paraId="5054A21B" w14:textId="0DD06811" w:rsidR="00B419A4" w:rsidRPr="00462EC9" w:rsidRDefault="00000000" w:rsidP="00E92447">
      <w:pPr>
        <w:pStyle w:val="NormalWeb"/>
        <w:numPr>
          <w:ilvl w:val="0"/>
          <w:numId w:val="5"/>
        </w:numPr>
        <w:spacing w:before="0" w:beforeAutospacing="0" w:after="0" w:afterAutospacing="0"/>
        <w:rPr>
          <w:rStyle w:val="Hyperlink"/>
          <w:rFonts w:ascii="Century Gothic" w:hAnsi="Century Gothic"/>
          <w:b/>
          <w:bCs/>
          <w:color w:val="auto"/>
          <w:u w:val="none"/>
        </w:rPr>
      </w:pPr>
      <w:hyperlink r:id="rId15" w:history="1">
        <w:r w:rsidR="00F852DD" w:rsidRPr="00462EC9">
          <w:rPr>
            <w:rStyle w:val="Hyperlink"/>
            <w:rFonts w:ascii="Century Gothic" w:hAnsi="Century Gothic"/>
            <w:b/>
            <w:bCs/>
            <w:color w:val="auto"/>
          </w:rPr>
          <w:t xml:space="preserve">Applications are due February 28, 2025 </w:t>
        </w:r>
      </w:hyperlink>
    </w:p>
    <w:p w14:paraId="3C2BD2DD" w14:textId="77777777" w:rsidR="00C20BD2" w:rsidRPr="00462EC9" w:rsidRDefault="00C20BD2" w:rsidP="00E92447">
      <w:pPr>
        <w:pStyle w:val="NormalWeb"/>
        <w:spacing w:before="0" w:beforeAutospacing="0"/>
        <w:ind w:left="720"/>
        <w:rPr>
          <w:rFonts w:ascii="Century Gothic" w:hAnsi="Century Gothic"/>
          <w:b/>
          <w:bCs/>
        </w:rPr>
      </w:pPr>
    </w:p>
    <w:p w14:paraId="5570C843" w14:textId="67934D20" w:rsidR="006256C6" w:rsidRPr="00462EC9" w:rsidRDefault="00000000" w:rsidP="00E92447">
      <w:pPr>
        <w:pStyle w:val="NormalWeb"/>
        <w:spacing w:before="240" w:beforeAutospacing="0"/>
        <w:rPr>
          <w:rFonts w:ascii="Century Gothic" w:hAnsi="Century Gothic"/>
          <w:color w:val="454545"/>
          <w:shd w:val="clear" w:color="auto" w:fill="FFFFFF"/>
        </w:rPr>
      </w:pPr>
      <w:hyperlink r:id="rId16" w:history="1">
        <w:r w:rsidR="006256C6" w:rsidRPr="00462EC9">
          <w:rPr>
            <w:rStyle w:val="Hyperlink"/>
            <w:rFonts w:ascii="Century Gothic" w:hAnsi="Century Gothic"/>
            <w:shd w:val="clear" w:color="auto" w:fill="FFFFFF"/>
          </w:rPr>
          <w:t>Ocean Protection Council, Senate Bill 1 Sea Level Rise Adaptation Planning Grant Program</w:t>
        </w:r>
      </w:hyperlink>
    </w:p>
    <w:p w14:paraId="4D7F11D5" w14:textId="4D04D4EE" w:rsidR="00153CFE" w:rsidRPr="00462EC9" w:rsidRDefault="00153CFE" w:rsidP="00394774">
      <w:pPr>
        <w:pStyle w:val="NormalWeb"/>
        <w:jc w:val="both"/>
        <w:rPr>
          <w:rFonts w:ascii="Century Gothic" w:hAnsi="Century Gothic"/>
          <w:shd w:val="clear" w:color="auto" w:fill="FFFFFF"/>
        </w:rPr>
      </w:pPr>
      <w:r w:rsidRPr="00462EC9">
        <w:rPr>
          <w:rFonts w:ascii="Century Gothic" w:hAnsi="Century Gothic"/>
          <w:shd w:val="clear" w:color="auto" w:fill="FFFFFF"/>
        </w:rPr>
        <w:t xml:space="preserve">The SB 1 Grant Program aims to provide funding for </w:t>
      </w:r>
      <w:r w:rsidR="00B419A4" w:rsidRPr="00462EC9">
        <w:rPr>
          <w:rFonts w:ascii="Century Gothic" w:hAnsi="Century Gothic"/>
          <w:shd w:val="clear" w:color="auto" w:fill="FFFFFF"/>
        </w:rPr>
        <w:t xml:space="preserve">local, regional, and </w:t>
      </w:r>
      <w:r w:rsidR="005D206D" w:rsidRPr="00462EC9">
        <w:rPr>
          <w:rFonts w:ascii="Century Gothic" w:hAnsi="Century Gothic"/>
          <w:shd w:val="clear" w:color="auto" w:fill="FFFFFF"/>
        </w:rPr>
        <w:t xml:space="preserve">federally recognized </w:t>
      </w:r>
      <w:r w:rsidR="00B419A4" w:rsidRPr="00462EC9">
        <w:rPr>
          <w:rFonts w:ascii="Century Gothic" w:hAnsi="Century Gothic"/>
          <w:shd w:val="clear" w:color="auto" w:fill="FFFFFF"/>
        </w:rPr>
        <w:t xml:space="preserve">tribal governments and </w:t>
      </w:r>
      <w:r w:rsidRPr="00462EC9">
        <w:rPr>
          <w:rFonts w:ascii="Century Gothic" w:hAnsi="Century Gothic"/>
          <w:shd w:val="clear" w:color="auto" w:fill="FFFFFF"/>
        </w:rPr>
        <w:t xml:space="preserve">coastal communities to develop sea level rise (SLR) adaptation plans and projects that build resilience to SLR along the coast of California and San Francisco Bay. </w:t>
      </w:r>
      <w:r w:rsidR="00B419A4" w:rsidRPr="00462EC9">
        <w:rPr>
          <w:rFonts w:ascii="Century Gothic" w:hAnsi="Century Gothic"/>
          <w:shd w:val="clear" w:color="auto" w:fill="FFFFFF"/>
        </w:rPr>
        <w:t>Funding is being offered for a range of SLR planning activities, including adaptation planning</w:t>
      </w:r>
      <w:r w:rsidR="005D206D" w:rsidRPr="00462EC9">
        <w:rPr>
          <w:rFonts w:ascii="Century Gothic" w:hAnsi="Century Gothic"/>
          <w:shd w:val="clear" w:color="auto" w:fill="FFFFFF"/>
        </w:rPr>
        <w:t xml:space="preserve">, </w:t>
      </w:r>
      <w:r w:rsidR="00B419A4" w:rsidRPr="00462EC9">
        <w:rPr>
          <w:rFonts w:ascii="Century Gothic" w:hAnsi="Century Gothic"/>
          <w:shd w:val="clear" w:color="auto" w:fill="FFFFFF"/>
        </w:rPr>
        <w:t>data collection, and project implementation.</w:t>
      </w:r>
      <w:r w:rsidRPr="00462EC9">
        <w:rPr>
          <w:rFonts w:ascii="Century Gothic" w:hAnsi="Century Gothic"/>
          <w:shd w:val="clear" w:color="auto" w:fill="FFFFFF"/>
        </w:rPr>
        <w:t xml:space="preserve"> </w:t>
      </w:r>
    </w:p>
    <w:p w14:paraId="2F0DBCC0" w14:textId="6490644A" w:rsidR="001613C6" w:rsidRPr="00462EC9" w:rsidRDefault="006256C6" w:rsidP="001613C6">
      <w:pPr>
        <w:pStyle w:val="NormalWeb"/>
        <w:numPr>
          <w:ilvl w:val="0"/>
          <w:numId w:val="5"/>
        </w:numPr>
        <w:rPr>
          <w:rFonts w:ascii="Century Gothic" w:hAnsi="Century Gothic"/>
          <w:b/>
          <w:bCs/>
          <w:u w:val="single"/>
          <w:shd w:val="clear" w:color="auto" w:fill="FFFFFF"/>
        </w:rPr>
      </w:pPr>
      <w:r w:rsidRPr="00462EC9">
        <w:rPr>
          <w:rFonts w:ascii="Century Gothic" w:hAnsi="Century Gothic"/>
          <w:b/>
          <w:bCs/>
          <w:u w:val="single"/>
          <w:shd w:val="clear" w:color="auto" w:fill="FFFFFF"/>
        </w:rPr>
        <w:t>Th</w:t>
      </w:r>
      <w:r w:rsidR="0099465B" w:rsidRPr="00462EC9">
        <w:rPr>
          <w:rFonts w:ascii="Century Gothic" w:hAnsi="Century Gothic"/>
          <w:b/>
          <w:bCs/>
          <w:u w:val="single"/>
          <w:shd w:val="clear" w:color="auto" w:fill="FFFFFF"/>
        </w:rPr>
        <w:t xml:space="preserve">e application for this </w:t>
      </w:r>
      <w:r w:rsidRPr="00462EC9">
        <w:rPr>
          <w:rFonts w:ascii="Century Gothic" w:hAnsi="Century Gothic"/>
          <w:b/>
          <w:bCs/>
          <w:u w:val="single"/>
          <w:shd w:val="clear" w:color="auto" w:fill="FFFFFF"/>
        </w:rPr>
        <w:t xml:space="preserve">funding opportunity is </w:t>
      </w:r>
      <w:r w:rsidR="0099465B" w:rsidRPr="00462EC9">
        <w:rPr>
          <w:rFonts w:ascii="Century Gothic" w:hAnsi="Century Gothic"/>
          <w:b/>
          <w:bCs/>
          <w:u w:val="single"/>
          <w:shd w:val="clear" w:color="auto" w:fill="FFFFFF"/>
        </w:rPr>
        <w:t xml:space="preserve">currently </w:t>
      </w:r>
      <w:r w:rsidRPr="00462EC9">
        <w:rPr>
          <w:rFonts w:ascii="Century Gothic" w:hAnsi="Century Gothic"/>
          <w:b/>
          <w:bCs/>
          <w:u w:val="single"/>
          <w:shd w:val="clear" w:color="auto" w:fill="FFFFFF"/>
        </w:rPr>
        <w:t>ongoing</w:t>
      </w:r>
    </w:p>
    <w:p w14:paraId="1D4844EE" w14:textId="77777777" w:rsidR="00C20BD2" w:rsidRPr="00E92447" w:rsidRDefault="00C20BD2" w:rsidP="005F2343">
      <w:pPr>
        <w:pStyle w:val="NormalWeb"/>
        <w:spacing w:after="0" w:afterAutospacing="0"/>
        <w:rPr>
          <w:rFonts w:ascii="Century Gothic" w:hAnsi="Century Gothic"/>
          <w:b/>
          <w:bCs/>
          <w:shd w:val="clear" w:color="auto" w:fill="FFFFFF"/>
        </w:rPr>
      </w:pPr>
    </w:p>
    <w:p w14:paraId="0333A111" w14:textId="6ED6335A" w:rsidR="005D206D" w:rsidRDefault="00000000" w:rsidP="00E92447">
      <w:pPr>
        <w:pStyle w:val="NormalWeb"/>
        <w:spacing w:before="0" w:beforeAutospacing="0"/>
        <w:jc w:val="both"/>
        <w:rPr>
          <w:rFonts w:ascii="Century Gothic" w:hAnsi="Century Gothic" w:cs="Arial"/>
          <w:color w:val="000000"/>
          <w:shd w:val="clear" w:color="auto" w:fill="FFFFFF"/>
        </w:rPr>
      </w:pPr>
      <w:hyperlink r:id="rId17" w:history="1">
        <w:r w:rsidR="005D206D" w:rsidRPr="005D206D">
          <w:rPr>
            <w:rStyle w:val="Hyperlink"/>
            <w:rFonts w:ascii="Century Gothic" w:hAnsi="Century Gothic" w:cs="Arial"/>
            <w:shd w:val="clear" w:color="auto" w:fill="FFFFFF"/>
          </w:rPr>
          <w:t>California Infrastructure &amp; Economic Development Bank, Climate Catalyst Revolving Loan Fund</w:t>
        </w:r>
      </w:hyperlink>
    </w:p>
    <w:p w14:paraId="76A1E9A8" w14:textId="17B926B2" w:rsidR="00A06784" w:rsidRDefault="00C20BD2" w:rsidP="000C47D2">
      <w:pPr>
        <w:pStyle w:val="NormalWeb"/>
        <w:jc w:val="both"/>
        <w:rPr>
          <w:rFonts w:ascii="Century Gothic" w:hAnsi="Century Gothic" w:cs="Arial"/>
          <w:color w:val="000000"/>
          <w:shd w:val="clear" w:color="auto" w:fill="FFFFFF"/>
        </w:rPr>
      </w:pPr>
      <w:r>
        <w:rPr>
          <w:rFonts w:ascii="Century Gothic" w:hAnsi="Century Gothic" w:cs="Arial"/>
          <w:color w:val="000000"/>
          <w:shd w:val="clear" w:color="auto" w:fill="FFFFFF"/>
        </w:rPr>
        <w:t>D</w:t>
      </w:r>
      <w:r w:rsidR="00A06784" w:rsidRPr="00DC37E5">
        <w:rPr>
          <w:rFonts w:ascii="Century Gothic" w:hAnsi="Century Gothic" w:cs="Arial"/>
          <w:color w:val="000000"/>
          <w:shd w:val="clear" w:color="auto" w:fill="FFFFFF"/>
        </w:rPr>
        <w:t>esigned to jumpstart critical climate solutions by offering flexible, low-cost credit and credit support to public and private sector applicants. </w:t>
      </w:r>
      <w:r w:rsidR="005D206D">
        <w:rPr>
          <w:rFonts w:ascii="Century Gothic" w:hAnsi="Century Gothic" w:cs="Arial"/>
          <w:color w:val="000000"/>
          <w:shd w:val="clear" w:color="auto" w:fill="FFFFFF"/>
        </w:rPr>
        <w:t>The Fund’s current focus is on three sectors critical to supporting the state’s climate mitigation and resilience strategies:</w:t>
      </w:r>
    </w:p>
    <w:p w14:paraId="3555F2F1" w14:textId="540731CD" w:rsidR="005D206D" w:rsidRPr="00E92447" w:rsidRDefault="005D206D" w:rsidP="005D206D">
      <w:pPr>
        <w:pStyle w:val="NormalWeb"/>
        <w:numPr>
          <w:ilvl w:val="0"/>
          <w:numId w:val="7"/>
        </w:numPr>
        <w:jc w:val="both"/>
        <w:rPr>
          <w:rFonts w:ascii="Century Gothic" w:hAnsi="Century Gothic"/>
          <w:shd w:val="clear" w:color="auto" w:fill="FFFFFF"/>
        </w:rPr>
      </w:pPr>
      <w:r>
        <w:rPr>
          <w:rFonts w:ascii="Century Gothic" w:hAnsi="Century Gothic" w:cs="Arial"/>
          <w:color w:val="000000"/>
          <w:shd w:val="clear" w:color="auto" w:fill="FFFFFF"/>
        </w:rPr>
        <w:t>Forest Biomass Management and Utilization</w:t>
      </w:r>
    </w:p>
    <w:p w14:paraId="186124A8" w14:textId="5595D094" w:rsidR="005D206D" w:rsidRPr="00E92447" w:rsidRDefault="005D206D" w:rsidP="005D206D">
      <w:pPr>
        <w:pStyle w:val="NormalWeb"/>
        <w:numPr>
          <w:ilvl w:val="0"/>
          <w:numId w:val="7"/>
        </w:numPr>
        <w:jc w:val="both"/>
        <w:rPr>
          <w:rFonts w:ascii="Century Gothic" w:hAnsi="Century Gothic"/>
          <w:shd w:val="clear" w:color="auto" w:fill="FFFFFF"/>
        </w:rPr>
      </w:pPr>
      <w:r>
        <w:rPr>
          <w:rFonts w:ascii="Century Gothic" w:hAnsi="Century Gothic" w:cs="Arial"/>
          <w:color w:val="000000"/>
          <w:shd w:val="clear" w:color="auto" w:fill="FFFFFF"/>
        </w:rPr>
        <w:t>Clean Energy Transmission</w:t>
      </w:r>
    </w:p>
    <w:p w14:paraId="023BD240" w14:textId="260742B4" w:rsidR="005D206D" w:rsidRPr="00DC37E5" w:rsidRDefault="005D206D" w:rsidP="00E92447">
      <w:pPr>
        <w:pStyle w:val="NormalWeb"/>
        <w:numPr>
          <w:ilvl w:val="0"/>
          <w:numId w:val="7"/>
        </w:numPr>
        <w:jc w:val="both"/>
        <w:rPr>
          <w:rFonts w:ascii="Century Gothic" w:hAnsi="Century Gothic"/>
          <w:shd w:val="clear" w:color="auto" w:fill="FFFFFF"/>
        </w:rPr>
      </w:pPr>
      <w:r>
        <w:rPr>
          <w:rFonts w:ascii="Century Gothic" w:hAnsi="Century Gothic" w:cs="Arial"/>
          <w:color w:val="000000"/>
          <w:shd w:val="clear" w:color="auto" w:fill="FFFFFF"/>
        </w:rPr>
        <w:t xml:space="preserve">Climate-Smart Agriculture </w:t>
      </w:r>
      <w:r w:rsidRPr="00E92447">
        <w:rPr>
          <w:rFonts w:ascii="Century Gothic" w:hAnsi="Century Gothic" w:cs="Arial"/>
          <w:i/>
          <w:iCs/>
          <w:color w:val="000000"/>
          <w:shd w:val="clear" w:color="auto" w:fill="FFFFFF"/>
        </w:rPr>
        <w:t>(not accepting applications at this time)</w:t>
      </w:r>
    </w:p>
    <w:p w14:paraId="069BBBAF" w14:textId="350E303D" w:rsidR="00014029" w:rsidRDefault="00D574DB" w:rsidP="00E92447">
      <w:pPr>
        <w:pStyle w:val="NormalWeb"/>
        <w:numPr>
          <w:ilvl w:val="0"/>
          <w:numId w:val="5"/>
        </w:numPr>
        <w:spacing w:after="0" w:afterAutospacing="0"/>
        <w:jc w:val="both"/>
        <w:rPr>
          <w:rFonts w:ascii="Century Gothic" w:hAnsi="Century Gothic"/>
          <w:b/>
          <w:bCs/>
          <w:shd w:val="clear" w:color="auto" w:fill="FFFFFF"/>
        </w:rPr>
      </w:pPr>
      <w:r w:rsidRPr="00E92447">
        <w:rPr>
          <w:rFonts w:ascii="Century Gothic" w:hAnsi="Century Gothic"/>
          <w:b/>
          <w:bCs/>
          <w:shd w:val="clear" w:color="auto" w:fill="FFFFFF"/>
        </w:rPr>
        <w:t>To submit an application, plea</w:t>
      </w:r>
      <w:r w:rsidR="00A96DAA" w:rsidRPr="00E92447">
        <w:rPr>
          <w:rFonts w:ascii="Century Gothic" w:hAnsi="Century Gothic"/>
          <w:b/>
          <w:bCs/>
          <w:shd w:val="clear" w:color="auto" w:fill="FFFFFF"/>
        </w:rPr>
        <w:t>se see the link above for program information and eligibility criteria</w:t>
      </w:r>
      <w:r w:rsidRPr="00E92447">
        <w:rPr>
          <w:rFonts w:ascii="Century Gothic" w:hAnsi="Century Gothic"/>
          <w:b/>
          <w:bCs/>
          <w:shd w:val="clear" w:color="auto" w:fill="FFFFFF"/>
        </w:rPr>
        <w:t xml:space="preserve"> </w:t>
      </w:r>
    </w:p>
    <w:p w14:paraId="7609D509" w14:textId="77777777" w:rsidR="00A96DAA" w:rsidRPr="00E92447" w:rsidRDefault="00A96DAA" w:rsidP="00E92447">
      <w:pPr>
        <w:pStyle w:val="NormalWeb"/>
        <w:spacing w:before="0" w:beforeAutospacing="0" w:after="0" w:afterAutospacing="0"/>
        <w:ind w:left="720"/>
        <w:jc w:val="both"/>
        <w:rPr>
          <w:rFonts w:ascii="Century Gothic" w:hAnsi="Century Gothic"/>
          <w:b/>
          <w:bCs/>
          <w:shd w:val="clear" w:color="auto" w:fill="FFFFFF"/>
        </w:rPr>
      </w:pPr>
    </w:p>
    <w:p w14:paraId="5EDFBEC9" w14:textId="10ACACD9" w:rsidR="006804F6" w:rsidRPr="00E427A6" w:rsidRDefault="00E427A6" w:rsidP="00E92447">
      <w:pPr>
        <w:pStyle w:val="NormalWeb"/>
        <w:spacing w:after="0" w:afterAutospacing="0"/>
        <w:jc w:val="both"/>
        <w:rPr>
          <w:rStyle w:val="Hyperlink"/>
          <w:rFonts w:ascii="Century Gothic" w:hAnsi="Century Gothic"/>
          <w:shd w:val="clear" w:color="auto" w:fill="FFFFFF"/>
        </w:rPr>
      </w:pPr>
      <w:r>
        <w:rPr>
          <w:rFonts w:ascii="Century Gothic" w:hAnsi="Century Gothic"/>
          <w:shd w:val="clear" w:color="auto" w:fill="FFFFFF"/>
        </w:rPr>
        <w:fldChar w:fldCharType="begin"/>
      </w:r>
      <w:r>
        <w:rPr>
          <w:rFonts w:ascii="Century Gothic" w:hAnsi="Century Gothic"/>
          <w:shd w:val="clear" w:color="auto" w:fill="FFFFFF"/>
        </w:rPr>
        <w:instrText>HYPERLINK "https://www.rd.usda.gov/programs-services/business-programs/intermediary-relending-program-8"</w:instrText>
      </w:r>
      <w:r>
        <w:rPr>
          <w:rFonts w:ascii="Century Gothic" w:hAnsi="Century Gothic"/>
          <w:shd w:val="clear" w:color="auto" w:fill="FFFFFF"/>
        </w:rPr>
      </w:r>
      <w:r>
        <w:rPr>
          <w:rFonts w:ascii="Century Gothic" w:hAnsi="Century Gothic"/>
          <w:shd w:val="clear" w:color="auto" w:fill="FFFFFF"/>
        </w:rPr>
        <w:fldChar w:fldCharType="separate"/>
      </w:r>
      <w:r w:rsidR="006804F6" w:rsidRPr="00E427A6">
        <w:rPr>
          <w:rStyle w:val="Hyperlink"/>
          <w:rFonts w:ascii="Century Gothic" w:hAnsi="Century Gothic"/>
          <w:shd w:val="clear" w:color="auto" w:fill="FFFFFF"/>
        </w:rPr>
        <w:t>U.S. Department of Agriculture, Intermediary Relending Program</w:t>
      </w:r>
      <w:r w:rsidRPr="00E427A6">
        <w:rPr>
          <w:rStyle w:val="Hyperlink"/>
          <w:rFonts w:ascii="Century Gothic" w:hAnsi="Century Gothic"/>
          <w:shd w:val="clear" w:color="auto" w:fill="FFFFFF"/>
        </w:rPr>
        <w:t xml:space="preserve"> (California)</w:t>
      </w:r>
    </w:p>
    <w:p w14:paraId="0136F217" w14:textId="76B82B1E" w:rsidR="006804F6" w:rsidRPr="00DC37E5" w:rsidRDefault="00E427A6" w:rsidP="00E92447">
      <w:pPr>
        <w:pStyle w:val="NormalWeb"/>
        <w:spacing w:after="0" w:afterAutospacing="0"/>
        <w:jc w:val="both"/>
        <w:rPr>
          <w:rFonts w:ascii="Century Gothic" w:hAnsi="Century Gothic"/>
          <w:color w:val="1B1B1B"/>
          <w:shd w:val="clear" w:color="auto" w:fill="FFFFFF"/>
        </w:rPr>
      </w:pPr>
      <w:r>
        <w:rPr>
          <w:rFonts w:ascii="Century Gothic" w:hAnsi="Century Gothic"/>
          <w:shd w:val="clear" w:color="auto" w:fill="FFFFFF"/>
        </w:rPr>
        <w:fldChar w:fldCharType="end"/>
      </w:r>
      <w:r>
        <w:rPr>
          <w:rFonts w:ascii="Century Gothic" w:hAnsi="Century Gothic" w:cs="Arial"/>
          <w:color w:val="000000"/>
        </w:rPr>
        <w:t>T</w:t>
      </w:r>
      <w:r w:rsidR="00BD2D6D" w:rsidRPr="00DC37E5">
        <w:rPr>
          <w:rFonts w:ascii="Century Gothic" w:hAnsi="Century Gothic" w:cs="Arial"/>
          <w:color w:val="000000"/>
        </w:rPr>
        <w:t>h</w:t>
      </w:r>
      <w:r w:rsidR="00362532">
        <w:rPr>
          <w:rFonts w:ascii="Century Gothic" w:hAnsi="Century Gothic"/>
          <w:shd w:val="clear" w:color="auto" w:fill="FFFFFF"/>
        </w:rPr>
        <w:t>is new p</w:t>
      </w:r>
      <w:r w:rsidR="00BD2D6D" w:rsidRPr="00DC37E5">
        <w:rPr>
          <w:rFonts w:ascii="Century Gothic" w:hAnsi="Century Gothic"/>
          <w:shd w:val="clear" w:color="auto" w:fill="FFFFFF"/>
        </w:rPr>
        <w:t>rogram</w:t>
      </w:r>
      <w:r w:rsidR="009F6CAD" w:rsidRPr="00DC37E5">
        <w:rPr>
          <w:rFonts w:ascii="Century Gothic" w:hAnsi="Century Gothic"/>
          <w:color w:val="1B1B1B"/>
          <w:shd w:val="clear" w:color="auto" w:fill="FFFFFF"/>
        </w:rPr>
        <w:t xml:space="preserve"> </w:t>
      </w:r>
      <w:r>
        <w:rPr>
          <w:rFonts w:ascii="Century Gothic" w:hAnsi="Century Gothic"/>
          <w:color w:val="1B1B1B"/>
          <w:shd w:val="clear" w:color="auto" w:fill="FFFFFF"/>
        </w:rPr>
        <w:t xml:space="preserve">was recently announced </w:t>
      </w:r>
      <w:r w:rsidR="009F6CAD" w:rsidRPr="00DC37E5">
        <w:rPr>
          <w:rFonts w:ascii="Century Gothic" w:hAnsi="Century Gothic"/>
          <w:color w:val="1B1B1B"/>
          <w:shd w:val="clear" w:color="auto" w:fill="FFFFFF"/>
        </w:rPr>
        <w:t>to</w:t>
      </w:r>
      <w:r w:rsidR="007455A0" w:rsidRPr="00DC37E5">
        <w:rPr>
          <w:rFonts w:ascii="Century Gothic" w:hAnsi="Century Gothic"/>
          <w:color w:val="1B1B1B"/>
          <w:shd w:val="clear" w:color="auto" w:fill="FFFFFF"/>
        </w:rPr>
        <w:t xml:space="preserve"> fund</w:t>
      </w:r>
      <w:r w:rsidR="009F6CAD" w:rsidRPr="00DC37E5">
        <w:rPr>
          <w:rFonts w:ascii="Century Gothic" w:hAnsi="Century Gothic"/>
          <w:color w:val="1B1B1B"/>
          <w:shd w:val="clear" w:color="auto" w:fill="FFFFFF"/>
        </w:rPr>
        <w:t xml:space="preserve"> local lenders or “intermediaries” that re-lend to businesses to improve economic conditions and create new opportunities in rural communities</w:t>
      </w:r>
      <w:r w:rsidR="008B2451" w:rsidRPr="00DC37E5">
        <w:rPr>
          <w:rFonts w:ascii="Century Gothic" w:hAnsi="Century Gothic"/>
          <w:color w:val="1B1B1B"/>
          <w:shd w:val="clear" w:color="auto" w:fill="FFFFFF"/>
        </w:rPr>
        <w:t xml:space="preserve">. </w:t>
      </w:r>
      <w:r>
        <w:rPr>
          <w:rFonts w:ascii="Century Gothic" w:hAnsi="Century Gothic"/>
          <w:color w:val="1B1B1B"/>
          <w:shd w:val="clear" w:color="auto" w:fill="FFFFFF"/>
        </w:rPr>
        <w:t xml:space="preserve">Funds can be used for such activities as promoting community development, establishing a new business, </w:t>
      </w:r>
      <w:r w:rsidR="00285023">
        <w:rPr>
          <w:rFonts w:ascii="Century Gothic" w:hAnsi="Century Gothic"/>
          <w:color w:val="1B1B1B"/>
          <w:shd w:val="clear" w:color="auto" w:fill="FFFFFF"/>
        </w:rPr>
        <w:t>creating,</w:t>
      </w:r>
      <w:r>
        <w:rPr>
          <w:rFonts w:ascii="Century Gothic" w:hAnsi="Century Gothic"/>
          <w:color w:val="1B1B1B"/>
          <w:shd w:val="clear" w:color="auto" w:fill="FFFFFF"/>
        </w:rPr>
        <w:t xml:space="preserve"> or retaining employment opportunities, to cover feasibility studies, and more.</w:t>
      </w:r>
    </w:p>
    <w:p w14:paraId="3826D54D" w14:textId="63A5D0EE" w:rsidR="00C20BD2" w:rsidRDefault="007455A0" w:rsidP="00C20BD2">
      <w:pPr>
        <w:pStyle w:val="NormalWeb"/>
        <w:numPr>
          <w:ilvl w:val="0"/>
          <w:numId w:val="5"/>
        </w:numPr>
        <w:spacing w:after="0" w:afterAutospacing="0"/>
        <w:jc w:val="both"/>
        <w:rPr>
          <w:rStyle w:val="Strong"/>
          <w:rFonts w:ascii="Century Gothic" w:hAnsi="Century Gothic"/>
          <w:b w:val="0"/>
          <w:bCs w:val="0"/>
          <w:color w:val="1B1B1B"/>
          <w:shd w:val="clear" w:color="auto" w:fill="FFFFFF"/>
        </w:rPr>
      </w:pPr>
      <w:r w:rsidRPr="00E92447">
        <w:rPr>
          <w:rFonts w:ascii="Century Gothic" w:hAnsi="Century Gothic"/>
          <w:b/>
          <w:bCs/>
          <w:color w:val="1B1B1B"/>
          <w:shd w:val="clear" w:color="auto" w:fill="FFFFFF"/>
        </w:rPr>
        <w:t xml:space="preserve">Applications </w:t>
      </w:r>
      <w:r w:rsidR="00083F99" w:rsidRPr="00E92447">
        <w:rPr>
          <w:rFonts w:ascii="Century Gothic" w:hAnsi="Century Gothic"/>
          <w:b/>
          <w:bCs/>
          <w:color w:val="1B1B1B"/>
          <w:shd w:val="clear" w:color="auto" w:fill="FFFFFF"/>
        </w:rPr>
        <w:t>must be</w:t>
      </w:r>
      <w:r w:rsidR="00083F99" w:rsidRPr="00C20BD2">
        <w:rPr>
          <w:rFonts w:ascii="Century Gothic" w:hAnsi="Century Gothic"/>
          <w:b/>
          <w:bCs/>
          <w:color w:val="1B1B1B"/>
          <w:shd w:val="clear" w:color="auto" w:fill="FFFFFF"/>
        </w:rPr>
        <w:t xml:space="preserve"> </w:t>
      </w:r>
      <w:r w:rsidR="00083F99" w:rsidRPr="00E92447">
        <w:rPr>
          <w:rStyle w:val="Strong"/>
          <w:rFonts w:ascii="Century Gothic" w:hAnsi="Century Gothic" w:cs="Arial"/>
          <w:bCs w:val="0"/>
          <w:color w:val="000000"/>
          <w:bdr w:val="none" w:sz="0" w:space="0" w:color="auto" w:frame="1"/>
          <w:shd w:val="clear" w:color="auto" w:fill="FFFFFF"/>
        </w:rPr>
        <w:t xml:space="preserve">submitted to </w:t>
      </w:r>
      <w:r w:rsidR="00E427A6" w:rsidRPr="00E92447">
        <w:rPr>
          <w:rStyle w:val="Strong"/>
          <w:rFonts w:ascii="Century Gothic" w:hAnsi="Century Gothic" w:cs="Arial"/>
          <w:bCs w:val="0"/>
          <w:color w:val="000000"/>
          <w:bdr w:val="none" w:sz="0" w:space="0" w:color="auto" w:frame="1"/>
          <w:shd w:val="clear" w:color="auto" w:fill="FFFFFF"/>
        </w:rPr>
        <w:t>the appropriate</w:t>
      </w:r>
      <w:r w:rsidR="00083F99" w:rsidRPr="00E92447">
        <w:rPr>
          <w:rStyle w:val="Strong"/>
          <w:rFonts w:ascii="Century Gothic" w:hAnsi="Century Gothic" w:cs="Arial"/>
          <w:bCs w:val="0"/>
          <w:bdr w:val="none" w:sz="0" w:space="0" w:color="auto" w:frame="1"/>
          <w:shd w:val="clear" w:color="auto" w:fill="FFFFFF"/>
        </w:rPr>
        <w:t> </w:t>
      </w:r>
      <w:hyperlink r:id="rId18" w:history="1">
        <w:r w:rsidR="00083F99" w:rsidRPr="00E92447">
          <w:rPr>
            <w:rStyle w:val="Strong"/>
            <w:rFonts w:ascii="Century Gothic" w:hAnsi="Century Gothic" w:cs="Arial"/>
            <w:bCs w:val="0"/>
            <w:u w:val="single"/>
            <w:bdr w:val="none" w:sz="0" w:space="0" w:color="auto" w:frame="1"/>
            <w:shd w:val="clear" w:color="auto" w:fill="FFFFFF"/>
          </w:rPr>
          <w:t>RD State Office</w:t>
        </w:r>
      </w:hyperlink>
      <w:r w:rsidR="00083F99" w:rsidRPr="00E92447">
        <w:rPr>
          <w:rStyle w:val="Strong"/>
          <w:rFonts w:ascii="Century Gothic" w:hAnsi="Century Gothic" w:cs="Arial"/>
          <w:bCs w:val="0"/>
          <w:color w:val="000000"/>
          <w:bdr w:val="none" w:sz="0" w:space="0" w:color="auto" w:frame="1"/>
          <w:shd w:val="clear" w:color="auto" w:fill="FFFFFF"/>
        </w:rPr>
        <w:t> </w:t>
      </w:r>
      <w:r w:rsidR="00E1011C" w:rsidRPr="00E92447">
        <w:rPr>
          <w:rStyle w:val="Strong"/>
          <w:rFonts w:ascii="Century Gothic" w:hAnsi="Century Gothic" w:cs="Arial"/>
          <w:bCs w:val="0"/>
          <w:color w:val="000000"/>
          <w:bdr w:val="none" w:sz="0" w:space="0" w:color="auto" w:frame="1"/>
          <w:shd w:val="clear" w:color="auto" w:fill="FFFFFF"/>
        </w:rPr>
        <w:t>q</w:t>
      </w:r>
      <w:r w:rsidR="00083F99" w:rsidRPr="00E92447">
        <w:rPr>
          <w:rStyle w:val="Strong"/>
          <w:rFonts w:ascii="Century Gothic" w:hAnsi="Century Gothic" w:cs="Arial"/>
          <w:bCs w:val="0"/>
          <w:color w:val="000000"/>
          <w:bdr w:val="none" w:sz="0" w:space="0" w:color="auto" w:frame="1"/>
          <w:shd w:val="clear" w:color="auto" w:fill="FFFFFF"/>
        </w:rPr>
        <w:t>uarterly</w:t>
      </w:r>
    </w:p>
    <w:p w14:paraId="63F66E05" w14:textId="77777777" w:rsidR="00C20BD2" w:rsidRPr="00C20BD2" w:rsidRDefault="00C20BD2" w:rsidP="00E92447">
      <w:pPr>
        <w:pStyle w:val="NormalWeb"/>
        <w:spacing w:before="0" w:beforeAutospacing="0" w:after="0" w:afterAutospacing="0"/>
        <w:ind w:left="720"/>
        <w:jc w:val="both"/>
        <w:rPr>
          <w:rStyle w:val="Strong"/>
          <w:rFonts w:ascii="Century Gothic" w:hAnsi="Century Gothic"/>
          <w:b w:val="0"/>
          <w:bCs w:val="0"/>
          <w:color w:val="1B1B1B"/>
          <w:shd w:val="clear" w:color="auto" w:fill="FFFFFF"/>
        </w:rPr>
      </w:pPr>
    </w:p>
    <w:p w14:paraId="60F9A38C" w14:textId="4B31D3F7" w:rsidR="00867957" w:rsidRDefault="00000000" w:rsidP="00867957">
      <w:pPr>
        <w:pStyle w:val="NormalWeb"/>
        <w:jc w:val="both"/>
        <w:rPr>
          <w:rFonts w:ascii="Century Gothic" w:hAnsi="Century Gothic"/>
          <w:color w:val="1B1B1B"/>
          <w:shd w:val="clear" w:color="auto" w:fill="FFFFFF"/>
        </w:rPr>
      </w:pPr>
      <w:hyperlink r:id="rId19" w:history="1">
        <w:r w:rsidR="00867957" w:rsidRPr="00867957">
          <w:rPr>
            <w:rStyle w:val="Hyperlink"/>
            <w:rFonts w:ascii="Century Gothic" w:hAnsi="Century Gothic"/>
            <w:shd w:val="clear" w:color="auto" w:fill="FFFFFF"/>
          </w:rPr>
          <w:t>EJ4Climate: Environmental Justice and Climate Resilience</w:t>
        </w:r>
        <w:r w:rsidR="00937BAA" w:rsidRPr="00D31225">
          <w:rPr>
            <w:rStyle w:val="Hyperlink"/>
            <w:rFonts w:ascii="Century Gothic" w:hAnsi="Century Gothic"/>
            <w:shd w:val="clear" w:color="auto" w:fill="FFFFFF"/>
          </w:rPr>
          <w:t xml:space="preserve"> </w:t>
        </w:r>
        <w:r w:rsidR="002D093F">
          <w:rPr>
            <w:rStyle w:val="Hyperlink"/>
            <w:rFonts w:ascii="Century Gothic" w:hAnsi="Century Gothic"/>
            <w:shd w:val="clear" w:color="auto" w:fill="FFFFFF"/>
          </w:rPr>
          <w:t xml:space="preserve">Grant </w:t>
        </w:r>
        <w:r w:rsidR="00937BAA" w:rsidRPr="002D093F">
          <w:rPr>
            <w:rStyle w:val="Hyperlink"/>
            <w:rFonts w:ascii="Century Gothic" w:hAnsi="Century Gothic"/>
            <w:color w:val="FFFFFF" w:themeColor="background1"/>
            <w:shd w:val="clear" w:color="auto" w:fill="FFFFFF"/>
          </w:rPr>
          <w:t>m</w:t>
        </w:r>
      </w:hyperlink>
    </w:p>
    <w:p w14:paraId="5BC8F1C7" w14:textId="5CD8893D" w:rsidR="00937BAA" w:rsidRDefault="00E427A6" w:rsidP="00867957">
      <w:pPr>
        <w:pStyle w:val="NormalWeb"/>
        <w:jc w:val="both"/>
        <w:rPr>
          <w:rFonts w:ascii="Century Gothic" w:hAnsi="Century Gothic"/>
          <w:color w:val="1B1B1B"/>
          <w:shd w:val="clear" w:color="auto" w:fill="FFFFFF"/>
        </w:rPr>
      </w:pPr>
      <w:r>
        <w:rPr>
          <w:rFonts w:ascii="Century Gothic" w:hAnsi="Century Gothic"/>
          <w:color w:val="1B1B1B"/>
          <w:shd w:val="clear" w:color="auto" w:fill="FFFFFF"/>
        </w:rPr>
        <w:t>Funded by the U.S. Environmental Protection Agency, the Commission for Environmental Cooperation (CEC) was established in 1994 by</w:t>
      </w:r>
      <w:r w:rsidR="0059495B">
        <w:rPr>
          <w:rFonts w:ascii="Century Gothic" w:hAnsi="Century Gothic"/>
          <w:color w:val="1B1B1B"/>
          <w:shd w:val="clear" w:color="auto" w:fill="FFFFFF"/>
        </w:rPr>
        <w:t xml:space="preserve"> </w:t>
      </w:r>
      <w:r w:rsidR="0059495B" w:rsidRPr="0059495B">
        <w:rPr>
          <w:rFonts w:ascii="Century Gothic" w:hAnsi="Century Gothic"/>
          <w:color w:val="1B1B1B"/>
          <w:shd w:val="clear" w:color="auto" w:fill="FFFFFF"/>
        </w:rPr>
        <w:t>the governments of Canada, Mexico</w:t>
      </w:r>
      <w:r w:rsidR="00C20BD2">
        <w:rPr>
          <w:rFonts w:ascii="Century Gothic" w:hAnsi="Century Gothic"/>
          <w:color w:val="1B1B1B"/>
          <w:shd w:val="clear" w:color="auto" w:fill="FFFFFF"/>
        </w:rPr>
        <w:t>,</w:t>
      </w:r>
      <w:r w:rsidR="0059495B" w:rsidRPr="0059495B">
        <w:rPr>
          <w:rFonts w:ascii="Century Gothic" w:hAnsi="Century Gothic"/>
          <w:color w:val="1B1B1B"/>
          <w:shd w:val="clear" w:color="auto" w:fill="FFFFFF"/>
        </w:rPr>
        <w:t xml:space="preserve"> and the United States through the North American Agreement on Environmental Cooperation</w:t>
      </w:r>
      <w:r w:rsidR="0059495B">
        <w:rPr>
          <w:rFonts w:ascii="Century Gothic" w:hAnsi="Century Gothic"/>
          <w:color w:val="1B1B1B"/>
          <w:shd w:val="clear" w:color="auto" w:fill="FFFFFF"/>
        </w:rPr>
        <w:t xml:space="preserve">. </w:t>
      </w:r>
      <w:r w:rsidR="00937BAA" w:rsidRPr="00937BAA">
        <w:rPr>
          <w:rFonts w:ascii="Century Gothic" w:hAnsi="Century Gothic"/>
          <w:color w:val="1B1B1B"/>
          <w:shd w:val="clear" w:color="auto" w:fill="FFFFFF"/>
        </w:rPr>
        <w:t>The EJ4Climate Grant Program provides funding directly to community-based organizations and seeks to support environmental justice by facilitating the involvement and empowerment of communities searching for solutions and the development of partnerships to address their environmental and human health vulnerabilities, including those due to climate change impacts</w:t>
      </w:r>
      <w:r>
        <w:rPr>
          <w:rFonts w:ascii="Century Gothic" w:hAnsi="Century Gothic"/>
          <w:color w:val="1B1B1B"/>
          <w:shd w:val="clear" w:color="auto" w:fill="FFFFFF"/>
        </w:rPr>
        <w:t>.</w:t>
      </w:r>
      <w:r w:rsidR="0059495B">
        <w:rPr>
          <w:rFonts w:ascii="Century Gothic" w:hAnsi="Century Gothic"/>
          <w:color w:val="1B1B1B"/>
          <w:shd w:val="clear" w:color="auto" w:fill="FFFFFF"/>
        </w:rPr>
        <w:t xml:space="preserve"> </w:t>
      </w:r>
    </w:p>
    <w:p w14:paraId="3D472141" w14:textId="3FDDB9C4" w:rsidR="0059495B" w:rsidRDefault="0059495B" w:rsidP="00F83782">
      <w:pPr>
        <w:pStyle w:val="NormalWeb"/>
        <w:numPr>
          <w:ilvl w:val="0"/>
          <w:numId w:val="5"/>
        </w:numPr>
        <w:jc w:val="both"/>
        <w:rPr>
          <w:rFonts w:ascii="Century Gothic" w:hAnsi="Century Gothic"/>
          <w:color w:val="1B1B1B"/>
          <w:shd w:val="clear" w:color="auto" w:fill="FFFFFF"/>
        </w:rPr>
      </w:pPr>
      <w:r w:rsidRPr="001F2A8B">
        <w:rPr>
          <w:rFonts w:ascii="Century Gothic" w:hAnsi="Century Gothic"/>
          <w:shd w:val="clear" w:color="auto" w:fill="FFFFFF"/>
        </w:rPr>
        <w:t>Eligible applicants include nonprofit and nongovernmental organizations (NGOs), civil society groups, environmental groups, community-based associations, faith-based organizations, tribal nations, and Indigenous Peoples and communities.</w:t>
      </w:r>
    </w:p>
    <w:p w14:paraId="523CD1A6" w14:textId="271DCCD0" w:rsidR="00F83782" w:rsidRPr="00E92447" w:rsidRDefault="00F83782" w:rsidP="00F83782">
      <w:pPr>
        <w:pStyle w:val="NormalWeb"/>
        <w:numPr>
          <w:ilvl w:val="0"/>
          <w:numId w:val="5"/>
        </w:numPr>
        <w:jc w:val="both"/>
        <w:rPr>
          <w:rFonts w:ascii="Century Gothic" w:hAnsi="Century Gothic"/>
          <w:b/>
          <w:bCs/>
          <w:color w:val="1B1B1B"/>
          <w:shd w:val="clear" w:color="auto" w:fill="FFFFFF"/>
        </w:rPr>
      </w:pPr>
      <w:r w:rsidRPr="00E92447">
        <w:rPr>
          <w:rFonts w:ascii="Century Gothic" w:hAnsi="Century Gothic"/>
          <w:b/>
          <w:bCs/>
          <w:color w:val="1B1B1B"/>
          <w:shd w:val="clear" w:color="auto" w:fill="FFFFFF"/>
        </w:rPr>
        <w:t>Applications are due November 14, 2024</w:t>
      </w:r>
      <w:r w:rsidR="006F21FF" w:rsidRPr="00E92447">
        <w:rPr>
          <w:rFonts w:ascii="Century Gothic" w:hAnsi="Century Gothic"/>
          <w:b/>
          <w:bCs/>
          <w:color w:val="1B1B1B"/>
          <w:shd w:val="clear" w:color="auto" w:fill="FFFFFF"/>
        </w:rPr>
        <w:t xml:space="preserve">, at </w:t>
      </w:r>
      <w:r w:rsidR="00FC6D9A" w:rsidRPr="00E92447">
        <w:rPr>
          <w:rFonts w:ascii="Century Gothic" w:hAnsi="Century Gothic"/>
          <w:b/>
          <w:bCs/>
          <w:color w:val="1B1B1B"/>
          <w:shd w:val="clear" w:color="auto" w:fill="FFFFFF"/>
        </w:rPr>
        <w:t>5:00 PM EST</w:t>
      </w:r>
    </w:p>
    <w:p w14:paraId="5590D553" w14:textId="77777777" w:rsidR="00E427A6" w:rsidRPr="00867957" w:rsidRDefault="00E427A6" w:rsidP="00E92447">
      <w:pPr>
        <w:pStyle w:val="NormalWeb"/>
        <w:ind w:left="720"/>
        <w:jc w:val="both"/>
        <w:rPr>
          <w:rFonts w:ascii="Century Gothic" w:hAnsi="Century Gothic"/>
          <w:color w:val="1B1B1B"/>
          <w:shd w:val="clear" w:color="auto" w:fill="FFFFFF"/>
        </w:rPr>
      </w:pPr>
    </w:p>
    <w:p w14:paraId="5C03111B" w14:textId="77777777" w:rsidR="00E95CAE" w:rsidRDefault="00E95CAE" w:rsidP="00E95CAE">
      <w:pPr>
        <w:pStyle w:val="NormalWeb"/>
      </w:pPr>
      <w:r w:rsidRPr="00E95CAE">
        <w:rPr>
          <w:rFonts w:ascii="Century Gothic" w:hAnsi="Century Gothic"/>
          <w:b/>
          <w:bCs/>
          <w:color w:val="002060"/>
          <w:position w:val="6"/>
          <w:sz w:val="34"/>
          <w:szCs w:val="34"/>
          <w:u w:val="thick" w:color="C00000"/>
        </w:rPr>
        <w:t>Webinars</w:t>
      </w:r>
      <w:r w:rsidRPr="00E95CAE">
        <w:rPr>
          <w:rFonts w:ascii="Century Gothic" w:hAnsi="Century Gothic"/>
          <w:b/>
          <w:bCs/>
          <w:color w:val="002060"/>
          <w:sz w:val="34"/>
          <w:szCs w:val="34"/>
          <w:u w:val="thick" w:color="C00000"/>
        </w:rPr>
        <w:t>__</w:t>
      </w:r>
      <w:r>
        <w:rPr>
          <w:rFonts w:ascii="Century Gothic" w:hAnsi="Century Gothic"/>
          <w:b/>
          <w:bCs/>
          <w:color w:val="002060"/>
          <w:sz w:val="36"/>
          <w:szCs w:val="36"/>
          <w:u w:val="thick" w:color="C00000"/>
        </w:rPr>
        <w:t>________________________________________________</w:t>
      </w:r>
    </w:p>
    <w:p w14:paraId="27470D6C" w14:textId="6B4D1EB6" w:rsidR="00E95CAE" w:rsidRPr="00462EC9" w:rsidRDefault="00000000" w:rsidP="00E95CAE">
      <w:pPr>
        <w:pStyle w:val="NormalWeb"/>
        <w:rPr>
          <w:rFonts w:ascii="Century Gothic" w:hAnsi="Century Gothic"/>
        </w:rPr>
      </w:pPr>
      <w:hyperlink r:id="rId20" w:anchor="/registration" w:history="1">
        <w:r w:rsidR="004633A9" w:rsidRPr="00462EC9">
          <w:rPr>
            <w:rStyle w:val="Hyperlink"/>
            <w:rFonts w:ascii="Century Gothic" w:hAnsi="Century Gothic"/>
          </w:rPr>
          <w:t>FEMA</w:t>
        </w:r>
        <w:r w:rsidR="00AB5890" w:rsidRPr="00462EC9">
          <w:rPr>
            <w:rStyle w:val="Hyperlink"/>
            <w:rFonts w:ascii="Century Gothic" w:hAnsi="Century Gothic"/>
          </w:rPr>
          <w:t xml:space="preserve"> Disaster Response: Small Business Resources, Insurance, and Claims</w:t>
        </w:r>
      </w:hyperlink>
    </w:p>
    <w:p w14:paraId="40902C1E" w14:textId="0C296B21" w:rsidR="00AB5890" w:rsidRPr="00462EC9" w:rsidRDefault="00AB5890" w:rsidP="00AB5890">
      <w:pPr>
        <w:pStyle w:val="NormalWeb"/>
        <w:jc w:val="both"/>
        <w:rPr>
          <w:rFonts w:ascii="Century Gothic" w:hAnsi="Century Gothic"/>
        </w:rPr>
      </w:pPr>
      <w:r w:rsidRPr="00462EC9">
        <w:rPr>
          <w:rFonts w:ascii="Century Gothic" w:hAnsi="Century Gothic"/>
        </w:rPr>
        <w:t>The Disaster Response: Small Business Resources, Insurance, and Claims session is a part of the ongoing Small Business Disaster Preparedness Series aimed at sharing critical information and resources for small businesses to successfully navigate disaster recovery situations and build resiliency before, during, and after disasters.</w:t>
      </w:r>
    </w:p>
    <w:p w14:paraId="6BDAA7FF" w14:textId="08A02DAC" w:rsidR="00E95CAE" w:rsidRPr="00462EC9" w:rsidRDefault="00000000" w:rsidP="00E92447">
      <w:pPr>
        <w:pStyle w:val="ListParagraph"/>
        <w:numPr>
          <w:ilvl w:val="0"/>
          <w:numId w:val="1"/>
        </w:numPr>
        <w:spacing w:after="0" w:line="240" w:lineRule="auto"/>
        <w:rPr>
          <w:rStyle w:val="Hyperlink"/>
          <w:rFonts w:ascii="Century Gothic" w:hAnsi="Century Gothic"/>
          <w:b/>
          <w:bCs/>
          <w:color w:val="auto"/>
          <w:sz w:val="24"/>
          <w:szCs w:val="24"/>
          <w:u w:val="none" w:color="002060"/>
        </w:rPr>
      </w:pPr>
      <w:hyperlink r:id="rId21" w:anchor="/registration" w:history="1">
        <w:r w:rsidR="00E95CAE" w:rsidRPr="00462EC9">
          <w:rPr>
            <w:rStyle w:val="Hyperlink"/>
            <w:rFonts w:ascii="Century Gothic" w:hAnsi="Century Gothic"/>
            <w:b/>
            <w:bCs/>
            <w:color w:val="auto"/>
            <w:sz w:val="24"/>
            <w:szCs w:val="24"/>
            <w:u w:val="none"/>
          </w:rPr>
          <w:t xml:space="preserve">Webinar will take place on </w:t>
        </w:r>
        <w:r w:rsidR="00AB5890" w:rsidRPr="00462EC9">
          <w:rPr>
            <w:rStyle w:val="Hyperlink"/>
            <w:rFonts w:ascii="Century Gothic" w:hAnsi="Century Gothic"/>
            <w:b/>
            <w:bCs/>
            <w:color w:val="auto"/>
            <w:sz w:val="24"/>
            <w:szCs w:val="24"/>
            <w:u w:val="none"/>
          </w:rPr>
          <w:t>December 10, 2024</w:t>
        </w:r>
        <w:r w:rsidR="00E95CAE" w:rsidRPr="00462EC9">
          <w:rPr>
            <w:rStyle w:val="Hyperlink"/>
            <w:rFonts w:ascii="Century Gothic" w:hAnsi="Century Gothic"/>
            <w:b/>
            <w:bCs/>
            <w:color w:val="auto"/>
            <w:sz w:val="24"/>
            <w:szCs w:val="24"/>
            <w:u w:val="none"/>
          </w:rPr>
          <w:t xml:space="preserve">, from </w:t>
        </w:r>
        <w:r w:rsidR="00AB5890" w:rsidRPr="00462EC9">
          <w:rPr>
            <w:rStyle w:val="Hyperlink"/>
            <w:rFonts w:ascii="Century Gothic" w:hAnsi="Century Gothic"/>
            <w:b/>
            <w:bCs/>
            <w:color w:val="auto"/>
            <w:sz w:val="24"/>
            <w:szCs w:val="24"/>
            <w:u w:val="none"/>
          </w:rPr>
          <w:t>1</w:t>
        </w:r>
        <w:r w:rsidR="00E95CAE" w:rsidRPr="00462EC9">
          <w:rPr>
            <w:rStyle w:val="Hyperlink"/>
            <w:rFonts w:ascii="Century Gothic" w:hAnsi="Century Gothic"/>
            <w:b/>
            <w:bCs/>
            <w:color w:val="auto"/>
            <w:sz w:val="24"/>
            <w:szCs w:val="24"/>
            <w:u w:val="none"/>
          </w:rPr>
          <w:t>:</w:t>
        </w:r>
        <w:r w:rsidR="00AB5890" w:rsidRPr="00462EC9">
          <w:rPr>
            <w:rStyle w:val="Hyperlink"/>
            <w:rFonts w:ascii="Century Gothic" w:hAnsi="Century Gothic"/>
            <w:b/>
            <w:bCs/>
            <w:color w:val="auto"/>
            <w:sz w:val="24"/>
            <w:szCs w:val="24"/>
            <w:u w:val="none"/>
          </w:rPr>
          <w:t>00</w:t>
        </w:r>
        <w:r w:rsidR="00E95CAE" w:rsidRPr="00462EC9">
          <w:rPr>
            <w:rStyle w:val="Hyperlink"/>
            <w:rFonts w:ascii="Century Gothic" w:hAnsi="Century Gothic"/>
            <w:b/>
            <w:bCs/>
            <w:color w:val="auto"/>
            <w:sz w:val="24"/>
            <w:szCs w:val="24"/>
            <w:u w:val="none"/>
          </w:rPr>
          <w:t xml:space="preserve"> p.m. - </w:t>
        </w:r>
        <w:r w:rsidR="00AB5890" w:rsidRPr="00462EC9">
          <w:rPr>
            <w:rStyle w:val="Hyperlink"/>
            <w:rFonts w:ascii="Century Gothic" w:hAnsi="Century Gothic"/>
            <w:b/>
            <w:bCs/>
            <w:color w:val="auto"/>
            <w:sz w:val="24"/>
            <w:szCs w:val="24"/>
            <w:u w:val="none"/>
          </w:rPr>
          <w:t>2</w:t>
        </w:r>
        <w:r w:rsidR="00E95CAE" w:rsidRPr="00462EC9">
          <w:rPr>
            <w:rStyle w:val="Hyperlink"/>
            <w:rFonts w:ascii="Century Gothic" w:hAnsi="Century Gothic"/>
            <w:b/>
            <w:bCs/>
            <w:color w:val="auto"/>
            <w:sz w:val="24"/>
            <w:szCs w:val="24"/>
            <w:u w:val="none"/>
          </w:rPr>
          <w:t>:</w:t>
        </w:r>
        <w:r w:rsidR="00AB5890" w:rsidRPr="00462EC9">
          <w:rPr>
            <w:rStyle w:val="Hyperlink"/>
            <w:rFonts w:ascii="Century Gothic" w:hAnsi="Century Gothic"/>
            <w:b/>
            <w:bCs/>
            <w:color w:val="auto"/>
            <w:sz w:val="24"/>
            <w:szCs w:val="24"/>
            <w:u w:val="none"/>
          </w:rPr>
          <w:t>30</w:t>
        </w:r>
        <w:r w:rsidR="00E95CAE" w:rsidRPr="00462EC9">
          <w:rPr>
            <w:rStyle w:val="Hyperlink"/>
            <w:rFonts w:ascii="Century Gothic" w:hAnsi="Century Gothic"/>
            <w:b/>
            <w:bCs/>
            <w:color w:val="auto"/>
            <w:sz w:val="24"/>
            <w:szCs w:val="24"/>
            <w:u w:val="none"/>
          </w:rPr>
          <w:t xml:space="preserve"> p.m. E</w:t>
        </w:r>
        <w:r w:rsidR="00362532" w:rsidRPr="00462EC9">
          <w:rPr>
            <w:rStyle w:val="Hyperlink"/>
            <w:rFonts w:ascii="Century Gothic" w:hAnsi="Century Gothic"/>
            <w:b/>
            <w:bCs/>
            <w:color w:val="auto"/>
            <w:sz w:val="24"/>
            <w:szCs w:val="24"/>
            <w:u w:val="none"/>
          </w:rPr>
          <w:t>S</w:t>
        </w:r>
        <w:r w:rsidR="00E95CAE" w:rsidRPr="00462EC9">
          <w:rPr>
            <w:rStyle w:val="Hyperlink"/>
            <w:rFonts w:ascii="Century Gothic" w:hAnsi="Century Gothic"/>
            <w:b/>
            <w:bCs/>
            <w:color w:val="auto"/>
            <w:sz w:val="24"/>
            <w:szCs w:val="24"/>
            <w:u w:val="none"/>
          </w:rPr>
          <w:t>T</w:t>
        </w:r>
      </w:hyperlink>
      <w:r w:rsidR="0059495B" w:rsidRPr="00462EC9">
        <w:rPr>
          <w:rStyle w:val="Hyperlink"/>
          <w:rFonts w:ascii="Century Gothic" w:hAnsi="Century Gothic"/>
          <w:b/>
          <w:bCs/>
          <w:color w:val="auto"/>
          <w:sz w:val="24"/>
          <w:szCs w:val="24"/>
          <w:u w:val="none"/>
        </w:rPr>
        <w:t xml:space="preserve"> (10:00am – 1130:am PST)</w:t>
      </w:r>
    </w:p>
    <w:p w14:paraId="40D7B81B" w14:textId="77777777" w:rsidR="00070C36" w:rsidRPr="00462EC9" w:rsidRDefault="00070C36" w:rsidP="00E92447">
      <w:pPr>
        <w:spacing w:line="240" w:lineRule="auto"/>
        <w:rPr>
          <w:rStyle w:val="Hyperlink"/>
          <w:rFonts w:ascii="Century Gothic" w:hAnsi="Century Gothic"/>
          <w:color w:val="auto"/>
          <w:sz w:val="24"/>
          <w:szCs w:val="24"/>
          <w:u w:val="none" w:color="002060"/>
        </w:rPr>
      </w:pPr>
    </w:p>
    <w:p w14:paraId="05CF4A18" w14:textId="748A302E" w:rsidR="00070C36" w:rsidRPr="00462EC9" w:rsidRDefault="00000000" w:rsidP="004346F8">
      <w:pPr>
        <w:spacing w:line="240" w:lineRule="auto"/>
        <w:rPr>
          <w:rFonts w:ascii="Century Gothic" w:hAnsi="Century Gothic"/>
          <w:sz w:val="24"/>
          <w:szCs w:val="24"/>
          <w:u w:color="002060"/>
        </w:rPr>
      </w:pPr>
      <w:hyperlink r:id="rId22" w:history="1">
        <w:r w:rsidR="004346F8" w:rsidRPr="00462EC9">
          <w:rPr>
            <w:rStyle w:val="Hyperlink"/>
            <w:rFonts w:ascii="Century Gothic" w:hAnsi="Century Gothic"/>
            <w:sz w:val="24"/>
            <w:szCs w:val="24"/>
          </w:rPr>
          <w:t>Indigenous Economic Development Community of Practice</w:t>
        </w:r>
        <w:r w:rsidR="00A227BC" w:rsidRPr="00462EC9">
          <w:rPr>
            <w:rStyle w:val="Hyperlink"/>
            <w:rFonts w:ascii="Century Gothic" w:hAnsi="Century Gothic"/>
            <w:sz w:val="24"/>
            <w:szCs w:val="24"/>
          </w:rPr>
          <w:t>,</w:t>
        </w:r>
        <w:r w:rsidR="004346F8" w:rsidRPr="00462EC9">
          <w:rPr>
            <w:rStyle w:val="Hyperlink"/>
            <w:rFonts w:ascii="Century Gothic" w:hAnsi="Century Gothic"/>
            <w:sz w:val="24"/>
            <w:szCs w:val="24"/>
          </w:rPr>
          <w:t xml:space="preserve"> Tourism and Culture-Centered Economic Development </w:t>
        </w:r>
      </w:hyperlink>
      <w:r w:rsidR="00070C36" w:rsidRPr="00462EC9">
        <w:rPr>
          <w:rFonts w:ascii="Century Gothic" w:hAnsi="Century Gothic"/>
          <w:sz w:val="24"/>
          <w:szCs w:val="24"/>
          <w:u w:color="002060"/>
        </w:rPr>
        <w:br/>
      </w:r>
      <w:r w:rsidR="00070C36" w:rsidRPr="00462EC9">
        <w:rPr>
          <w:rFonts w:ascii="Century Gothic" w:hAnsi="Century Gothic"/>
          <w:sz w:val="24"/>
          <w:szCs w:val="24"/>
          <w:u w:color="002060"/>
        </w:rPr>
        <w:br/>
        <w:t xml:space="preserve">Tourism and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culture-centered</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 activities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provide a unique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lens through which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to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examine tribal and Native communities’ efforts to balance their interests in economic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development with</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 their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desire</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 to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preserve</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 their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cultures</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 in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the face of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outside influences,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protect sacred sites, leave Native lands and ecosystems unspoiled, and maintain the tranquility </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and privacy</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 of</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 their</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 communities.</w:t>
      </w:r>
      <w:r w:rsidR="00602DB5" w:rsidRPr="00462EC9">
        <w:rPr>
          <w:rFonts w:ascii="Century Gothic" w:hAnsi="Century Gothic"/>
          <w:sz w:val="24"/>
          <w:szCs w:val="24"/>
          <w:u w:color="002060"/>
        </w:rPr>
        <w:t xml:space="preserve"> </w:t>
      </w:r>
      <w:r w:rsidR="00070C36" w:rsidRPr="00462EC9">
        <w:rPr>
          <w:rFonts w:ascii="Century Gothic" w:hAnsi="Century Gothic"/>
          <w:sz w:val="24"/>
          <w:szCs w:val="24"/>
          <w:u w:color="002060"/>
        </w:rPr>
        <w:t xml:space="preserve"> </w:t>
      </w:r>
      <w:r w:rsidR="00362532" w:rsidRPr="00462EC9">
        <w:rPr>
          <w:rFonts w:ascii="Century Gothic" w:hAnsi="Century Gothic"/>
          <w:sz w:val="24"/>
          <w:szCs w:val="24"/>
          <w:u w:color="002060"/>
        </w:rPr>
        <w:t>This session will focus on how tribal and Native communities have navigated this decision-making process and sought to diversify their activities to make their enterprises less vulnerable to economic, social, and health crises.</w:t>
      </w:r>
    </w:p>
    <w:p w14:paraId="59EAF302" w14:textId="37999024" w:rsidR="00C20BD2" w:rsidRPr="005F2343" w:rsidRDefault="00070C36" w:rsidP="005F2343">
      <w:pPr>
        <w:pStyle w:val="ListParagraph"/>
        <w:numPr>
          <w:ilvl w:val="0"/>
          <w:numId w:val="1"/>
        </w:numPr>
        <w:rPr>
          <w:sz w:val="24"/>
          <w:szCs w:val="24"/>
          <w:u w:color="002060"/>
        </w:rPr>
      </w:pPr>
      <w:r w:rsidRPr="005F2343">
        <w:rPr>
          <w:rFonts w:ascii="Century Gothic" w:hAnsi="Century Gothic"/>
          <w:b/>
          <w:bCs/>
          <w:sz w:val="24"/>
          <w:szCs w:val="24"/>
          <w:u w:color="002060"/>
        </w:rPr>
        <w:t>Webinar will take place on Wednesday, November 20, 2024, from 11:00 AM -12:30 PM</w:t>
      </w:r>
      <w:r w:rsidR="0059495B" w:rsidRPr="005F2343">
        <w:rPr>
          <w:rFonts w:ascii="Century Gothic" w:hAnsi="Century Gothic"/>
          <w:b/>
          <w:bCs/>
          <w:sz w:val="24"/>
          <w:szCs w:val="24"/>
          <w:u w:color="002060"/>
        </w:rPr>
        <w:t xml:space="preserve"> (PST)</w:t>
      </w:r>
    </w:p>
    <w:p w14:paraId="57047BAE" w14:textId="77777777" w:rsidR="007626E2" w:rsidRPr="00462EC9" w:rsidRDefault="007626E2" w:rsidP="007626E2">
      <w:pPr>
        <w:pStyle w:val="ListParagraph"/>
        <w:spacing w:line="240" w:lineRule="auto"/>
        <w:rPr>
          <w:rFonts w:ascii="Century Gothic" w:hAnsi="Century Gothic"/>
          <w:sz w:val="24"/>
          <w:szCs w:val="24"/>
          <w:u w:color="002060"/>
        </w:rPr>
      </w:pPr>
    </w:p>
    <w:p w14:paraId="013B9D4B" w14:textId="1263B6FD" w:rsidR="007626E2" w:rsidRPr="00462EC9" w:rsidRDefault="00000000" w:rsidP="00E95CAE">
      <w:pPr>
        <w:pStyle w:val="Footer"/>
        <w:rPr>
          <w:rFonts w:ascii="Century Gothic" w:hAnsi="Century Gothic"/>
          <w:sz w:val="24"/>
          <w:szCs w:val="24"/>
        </w:rPr>
      </w:pPr>
      <w:hyperlink r:id="rId23" w:history="1">
        <w:r w:rsidR="007626E2" w:rsidRPr="00462EC9">
          <w:rPr>
            <w:rStyle w:val="Hyperlink"/>
            <w:rFonts w:ascii="Century Gothic" w:hAnsi="Century Gothic"/>
            <w:sz w:val="24"/>
            <w:szCs w:val="24"/>
          </w:rPr>
          <w:t xml:space="preserve">Data’s Role as a Catalyst for Equitable Economic Development </w:t>
        </w:r>
      </w:hyperlink>
    </w:p>
    <w:p w14:paraId="31978025" w14:textId="77777777" w:rsidR="007626E2" w:rsidRPr="00462EC9" w:rsidRDefault="007626E2" w:rsidP="00E95CAE">
      <w:pPr>
        <w:pStyle w:val="Footer"/>
        <w:rPr>
          <w:rFonts w:ascii="Century Gothic" w:hAnsi="Century Gothic"/>
          <w:sz w:val="24"/>
          <w:szCs w:val="24"/>
        </w:rPr>
      </w:pPr>
    </w:p>
    <w:p w14:paraId="26BA04A1" w14:textId="20F8E513" w:rsidR="007626E2" w:rsidRPr="00462EC9" w:rsidRDefault="00937CEA" w:rsidP="00DE7C94">
      <w:pPr>
        <w:pStyle w:val="Footer"/>
        <w:jc w:val="both"/>
        <w:rPr>
          <w:rFonts w:ascii="Century Gothic" w:hAnsi="Century Gothic"/>
          <w:b/>
          <w:bCs/>
          <w:sz w:val="24"/>
          <w:szCs w:val="24"/>
        </w:rPr>
      </w:pPr>
      <w:r w:rsidRPr="00462EC9">
        <w:rPr>
          <w:rFonts w:ascii="Century Gothic" w:hAnsi="Century Gothic"/>
          <w:sz w:val="24"/>
          <w:szCs w:val="24"/>
        </w:rPr>
        <w:t xml:space="preserve">This webinar from the International Economic Development Council </w:t>
      </w:r>
      <w:r w:rsidR="00DE7C94" w:rsidRPr="00462EC9">
        <w:rPr>
          <w:rFonts w:ascii="Century Gothic" w:hAnsi="Century Gothic"/>
          <w:sz w:val="24"/>
          <w:szCs w:val="24"/>
        </w:rPr>
        <w:t>will</w:t>
      </w:r>
      <w:r w:rsidRPr="00462EC9">
        <w:rPr>
          <w:rFonts w:ascii="Century Gothic" w:hAnsi="Century Gothic"/>
          <w:sz w:val="24"/>
          <w:szCs w:val="24"/>
        </w:rPr>
        <w:t xml:space="preserve"> share </w:t>
      </w:r>
      <w:r w:rsidR="007626E2" w:rsidRPr="00462EC9">
        <w:rPr>
          <w:rFonts w:ascii="Century Gothic" w:hAnsi="Century Gothic"/>
          <w:sz w:val="24"/>
          <w:szCs w:val="24"/>
        </w:rPr>
        <w:t>how to</w:t>
      </w:r>
      <w:r w:rsidRPr="00462EC9">
        <w:rPr>
          <w:rFonts w:ascii="Century Gothic" w:hAnsi="Century Gothic"/>
          <w:sz w:val="24"/>
          <w:szCs w:val="24"/>
        </w:rPr>
        <w:t xml:space="preserve"> explore and</w:t>
      </w:r>
      <w:r w:rsidR="007626E2" w:rsidRPr="00462EC9">
        <w:rPr>
          <w:rFonts w:ascii="Century Gothic" w:hAnsi="Century Gothic"/>
          <w:sz w:val="24"/>
          <w:szCs w:val="24"/>
        </w:rPr>
        <w:t xml:space="preserve"> leverage data as a driving force for inclusive and equitable economic development. </w:t>
      </w:r>
      <w:r w:rsidRPr="00462EC9">
        <w:rPr>
          <w:rFonts w:ascii="Century Gothic" w:hAnsi="Century Gothic"/>
          <w:sz w:val="24"/>
          <w:szCs w:val="24"/>
        </w:rPr>
        <w:t xml:space="preserve">The webinar will include a </w:t>
      </w:r>
      <w:r w:rsidR="007626E2" w:rsidRPr="00462EC9">
        <w:rPr>
          <w:rFonts w:ascii="Century Gothic" w:hAnsi="Century Gothic"/>
          <w:sz w:val="24"/>
          <w:szCs w:val="24"/>
        </w:rPr>
        <w:t>panel discussion with industry experts a</w:t>
      </w:r>
      <w:r w:rsidR="00DE7C94" w:rsidRPr="00462EC9">
        <w:rPr>
          <w:rFonts w:ascii="Century Gothic" w:hAnsi="Century Gothic"/>
          <w:sz w:val="24"/>
          <w:szCs w:val="24"/>
        </w:rPr>
        <w:t>nd</w:t>
      </w:r>
      <w:r w:rsidR="007626E2" w:rsidRPr="00462EC9">
        <w:rPr>
          <w:rFonts w:ascii="Century Gothic" w:hAnsi="Century Gothic"/>
          <w:sz w:val="24"/>
          <w:szCs w:val="24"/>
        </w:rPr>
        <w:t xml:space="preserve"> investigate best practices for forging fair and just equilibriums in communities.</w:t>
      </w:r>
      <w:r w:rsidR="00215E6C" w:rsidRPr="00462EC9">
        <w:rPr>
          <w:rFonts w:ascii="Century Gothic" w:hAnsi="Century Gothic"/>
          <w:sz w:val="24"/>
          <w:szCs w:val="24"/>
        </w:rPr>
        <w:t xml:space="preserve"> Th</w:t>
      </w:r>
      <w:r w:rsidR="00DE7C94" w:rsidRPr="00462EC9">
        <w:rPr>
          <w:rFonts w:ascii="Century Gothic" w:hAnsi="Century Gothic"/>
          <w:sz w:val="24"/>
          <w:szCs w:val="24"/>
        </w:rPr>
        <w:t xml:space="preserve">e </w:t>
      </w:r>
      <w:r w:rsidR="007626E2" w:rsidRPr="00462EC9">
        <w:rPr>
          <w:rFonts w:ascii="Century Gothic" w:hAnsi="Century Gothic"/>
          <w:sz w:val="24"/>
          <w:szCs w:val="24"/>
        </w:rPr>
        <w:t xml:space="preserve">webinar </w:t>
      </w:r>
      <w:r w:rsidR="00DE7C94" w:rsidRPr="00462EC9">
        <w:rPr>
          <w:rFonts w:ascii="Century Gothic" w:hAnsi="Century Gothic"/>
          <w:sz w:val="24"/>
          <w:szCs w:val="24"/>
        </w:rPr>
        <w:t>will help participants</w:t>
      </w:r>
      <w:r w:rsidR="007626E2" w:rsidRPr="00462EC9">
        <w:rPr>
          <w:rFonts w:ascii="Century Gothic" w:hAnsi="Century Gothic"/>
          <w:sz w:val="24"/>
          <w:szCs w:val="24"/>
        </w:rPr>
        <w:t xml:space="preserve"> understand how to strategically employ data insights to shape the future of community </w:t>
      </w:r>
      <w:r w:rsidRPr="00462EC9">
        <w:rPr>
          <w:rFonts w:ascii="Century Gothic" w:hAnsi="Century Gothic"/>
          <w:sz w:val="24"/>
          <w:szCs w:val="24"/>
        </w:rPr>
        <w:t xml:space="preserve"> </w:t>
      </w:r>
      <w:r w:rsidR="007626E2" w:rsidRPr="00462EC9">
        <w:rPr>
          <w:rFonts w:ascii="Century Gothic" w:hAnsi="Century Gothic"/>
          <w:sz w:val="24"/>
          <w:szCs w:val="24"/>
        </w:rPr>
        <w:t>procurement and planning processes</w:t>
      </w:r>
      <w:r w:rsidR="00DE7C94" w:rsidRPr="00462EC9">
        <w:rPr>
          <w:rFonts w:ascii="Century Gothic" w:hAnsi="Century Gothic"/>
          <w:sz w:val="24"/>
          <w:szCs w:val="24"/>
        </w:rPr>
        <w:t xml:space="preserve"> that </w:t>
      </w:r>
      <w:r w:rsidR="007626E2" w:rsidRPr="00462EC9">
        <w:rPr>
          <w:rFonts w:ascii="Century Gothic" w:hAnsi="Century Gothic"/>
          <w:sz w:val="24"/>
          <w:szCs w:val="24"/>
        </w:rPr>
        <w:t>emphasiz</w:t>
      </w:r>
      <w:r w:rsidR="00DE7C94" w:rsidRPr="00462EC9">
        <w:rPr>
          <w:rFonts w:ascii="Century Gothic" w:hAnsi="Century Gothic"/>
          <w:sz w:val="24"/>
          <w:szCs w:val="24"/>
        </w:rPr>
        <w:t xml:space="preserve">e </w:t>
      </w:r>
      <w:r w:rsidR="007626E2" w:rsidRPr="00462EC9">
        <w:rPr>
          <w:rFonts w:ascii="Century Gothic" w:hAnsi="Century Gothic"/>
          <w:sz w:val="24"/>
          <w:szCs w:val="24"/>
        </w:rPr>
        <w:t>equity, empowerment, and economic sustainability. </w:t>
      </w:r>
      <w:r w:rsidR="00B262D5" w:rsidRPr="00462EC9">
        <w:rPr>
          <w:rFonts w:ascii="Century Gothic" w:hAnsi="Century Gothic"/>
          <w:sz w:val="24"/>
          <w:szCs w:val="24"/>
        </w:rPr>
        <w:br/>
      </w:r>
    </w:p>
    <w:p w14:paraId="0E12BB4C" w14:textId="77777777" w:rsidR="00961AAA" w:rsidRPr="00462EC9" w:rsidRDefault="00B262D5" w:rsidP="00E92447">
      <w:pPr>
        <w:pStyle w:val="ListParagraph"/>
        <w:numPr>
          <w:ilvl w:val="0"/>
          <w:numId w:val="3"/>
        </w:numPr>
        <w:spacing w:after="0" w:line="240" w:lineRule="auto"/>
        <w:rPr>
          <w:rFonts w:ascii="Century Gothic" w:hAnsi="Century Gothic"/>
          <w:b/>
          <w:bCs/>
          <w:sz w:val="24"/>
          <w:szCs w:val="24"/>
          <w:u w:color="002060"/>
        </w:rPr>
      </w:pPr>
      <w:r w:rsidRPr="00462EC9">
        <w:rPr>
          <w:rFonts w:ascii="Century Gothic" w:hAnsi="Century Gothic"/>
          <w:b/>
          <w:bCs/>
          <w:sz w:val="24"/>
          <w:szCs w:val="24"/>
          <w:u w:color="002060"/>
        </w:rPr>
        <w:t xml:space="preserve">Webinar will take place on </w:t>
      </w:r>
      <w:r w:rsidR="003D39F3" w:rsidRPr="00462EC9">
        <w:rPr>
          <w:rFonts w:ascii="Century Gothic" w:hAnsi="Century Gothic"/>
          <w:b/>
          <w:bCs/>
          <w:sz w:val="24"/>
          <w:szCs w:val="24"/>
          <w:u w:color="002060"/>
        </w:rPr>
        <w:t>Thursday</w:t>
      </w:r>
      <w:r w:rsidRPr="00462EC9">
        <w:rPr>
          <w:rFonts w:ascii="Century Gothic" w:hAnsi="Century Gothic"/>
          <w:b/>
          <w:bCs/>
          <w:sz w:val="24"/>
          <w:szCs w:val="24"/>
          <w:u w:color="002060"/>
        </w:rPr>
        <w:t xml:space="preserve">, </w:t>
      </w:r>
      <w:r w:rsidR="007174D0" w:rsidRPr="00462EC9">
        <w:rPr>
          <w:rFonts w:ascii="Century Gothic" w:hAnsi="Century Gothic"/>
          <w:b/>
          <w:bCs/>
          <w:sz w:val="24"/>
          <w:szCs w:val="24"/>
          <w:u w:color="002060"/>
        </w:rPr>
        <w:t>December</w:t>
      </w:r>
      <w:r w:rsidRPr="00462EC9">
        <w:rPr>
          <w:rFonts w:ascii="Century Gothic" w:hAnsi="Century Gothic"/>
          <w:b/>
          <w:bCs/>
          <w:sz w:val="24"/>
          <w:szCs w:val="24"/>
          <w:u w:color="002060"/>
        </w:rPr>
        <w:t xml:space="preserve"> </w:t>
      </w:r>
      <w:r w:rsidR="007174D0" w:rsidRPr="00462EC9">
        <w:rPr>
          <w:rFonts w:ascii="Century Gothic" w:hAnsi="Century Gothic"/>
          <w:b/>
          <w:bCs/>
          <w:sz w:val="24"/>
          <w:szCs w:val="24"/>
          <w:u w:color="002060"/>
        </w:rPr>
        <w:t>5</w:t>
      </w:r>
      <w:r w:rsidRPr="00462EC9">
        <w:rPr>
          <w:rFonts w:ascii="Century Gothic" w:hAnsi="Century Gothic"/>
          <w:b/>
          <w:bCs/>
          <w:sz w:val="24"/>
          <w:szCs w:val="24"/>
          <w:u w:color="002060"/>
        </w:rPr>
        <w:t xml:space="preserve">, 2024, from </w:t>
      </w:r>
      <w:r w:rsidR="007174D0" w:rsidRPr="00462EC9">
        <w:rPr>
          <w:rFonts w:ascii="Century Gothic" w:hAnsi="Century Gothic"/>
          <w:b/>
          <w:bCs/>
          <w:sz w:val="24"/>
          <w:szCs w:val="24"/>
          <w:u w:color="002060"/>
        </w:rPr>
        <w:t>2</w:t>
      </w:r>
      <w:r w:rsidRPr="00462EC9">
        <w:rPr>
          <w:rFonts w:ascii="Century Gothic" w:hAnsi="Century Gothic"/>
          <w:b/>
          <w:bCs/>
          <w:sz w:val="24"/>
          <w:szCs w:val="24"/>
          <w:u w:color="002060"/>
        </w:rPr>
        <w:t xml:space="preserve">:00 </w:t>
      </w:r>
      <w:r w:rsidR="007174D0" w:rsidRPr="00462EC9">
        <w:rPr>
          <w:rFonts w:ascii="Century Gothic" w:hAnsi="Century Gothic"/>
          <w:b/>
          <w:bCs/>
          <w:sz w:val="24"/>
          <w:szCs w:val="24"/>
          <w:u w:color="002060"/>
        </w:rPr>
        <w:t>P</w:t>
      </w:r>
      <w:r w:rsidRPr="00462EC9">
        <w:rPr>
          <w:rFonts w:ascii="Century Gothic" w:hAnsi="Century Gothic"/>
          <w:b/>
          <w:bCs/>
          <w:sz w:val="24"/>
          <w:szCs w:val="24"/>
          <w:u w:color="002060"/>
        </w:rPr>
        <w:t>M -</w:t>
      </w:r>
      <w:r w:rsidR="007174D0" w:rsidRPr="00462EC9">
        <w:rPr>
          <w:rFonts w:ascii="Century Gothic" w:hAnsi="Century Gothic"/>
          <w:b/>
          <w:bCs/>
          <w:sz w:val="24"/>
          <w:szCs w:val="24"/>
          <w:u w:color="002060"/>
        </w:rPr>
        <w:t xml:space="preserve"> 3</w:t>
      </w:r>
      <w:r w:rsidRPr="00462EC9">
        <w:rPr>
          <w:rFonts w:ascii="Century Gothic" w:hAnsi="Century Gothic"/>
          <w:b/>
          <w:bCs/>
          <w:sz w:val="24"/>
          <w:szCs w:val="24"/>
          <w:u w:color="002060"/>
        </w:rPr>
        <w:t>:</w:t>
      </w:r>
      <w:r w:rsidR="007174D0" w:rsidRPr="00462EC9">
        <w:rPr>
          <w:rFonts w:ascii="Century Gothic" w:hAnsi="Century Gothic"/>
          <w:b/>
          <w:bCs/>
          <w:sz w:val="24"/>
          <w:szCs w:val="24"/>
          <w:u w:color="002060"/>
        </w:rPr>
        <w:t>0</w:t>
      </w:r>
      <w:r w:rsidRPr="00462EC9">
        <w:rPr>
          <w:rFonts w:ascii="Century Gothic" w:hAnsi="Century Gothic"/>
          <w:b/>
          <w:bCs/>
          <w:sz w:val="24"/>
          <w:szCs w:val="24"/>
          <w:u w:color="002060"/>
        </w:rPr>
        <w:t>0 PM</w:t>
      </w:r>
      <w:r w:rsidR="007174D0" w:rsidRPr="00462EC9">
        <w:rPr>
          <w:rFonts w:ascii="Century Gothic" w:hAnsi="Century Gothic"/>
          <w:b/>
          <w:bCs/>
          <w:sz w:val="24"/>
          <w:szCs w:val="24"/>
          <w:u w:color="002060"/>
        </w:rPr>
        <w:t xml:space="preserve"> EST</w:t>
      </w:r>
    </w:p>
    <w:p w14:paraId="301CD872" w14:textId="77777777" w:rsidR="00B262D5" w:rsidRPr="00462EC9" w:rsidRDefault="00B262D5" w:rsidP="00394774">
      <w:pPr>
        <w:pStyle w:val="Footer"/>
        <w:jc w:val="both"/>
        <w:rPr>
          <w:rFonts w:ascii="Century Gothic" w:hAnsi="Century Gothic"/>
          <w:sz w:val="24"/>
          <w:szCs w:val="24"/>
        </w:rPr>
      </w:pPr>
    </w:p>
    <w:p w14:paraId="56A393B3" w14:textId="77777777" w:rsidR="00362532" w:rsidRDefault="00362532" w:rsidP="00394774">
      <w:pPr>
        <w:pStyle w:val="Footer"/>
        <w:jc w:val="both"/>
        <w:rPr>
          <w:rFonts w:ascii="Century Gothic" w:hAnsi="Century Gothic"/>
          <w:sz w:val="24"/>
          <w:szCs w:val="24"/>
        </w:rPr>
      </w:pPr>
    </w:p>
    <w:p w14:paraId="70177323" w14:textId="77777777" w:rsidR="008B0F30" w:rsidRDefault="008B0F30" w:rsidP="00394774">
      <w:pPr>
        <w:pStyle w:val="Footer"/>
        <w:jc w:val="both"/>
        <w:rPr>
          <w:rFonts w:ascii="Century Gothic" w:hAnsi="Century Gothic"/>
          <w:sz w:val="24"/>
          <w:szCs w:val="24"/>
        </w:rPr>
      </w:pPr>
    </w:p>
    <w:p w14:paraId="414728E1" w14:textId="77777777" w:rsidR="008B0F30" w:rsidRDefault="008B0F30" w:rsidP="00394774">
      <w:pPr>
        <w:pStyle w:val="Footer"/>
        <w:jc w:val="both"/>
        <w:rPr>
          <w:rFonts w:ascii="Century Gothic" w:hAnsi="Century Gothic"/>
          <w:sz w:val="24"/>
          <w:szCs w:val="24"/>
        </w:rPr>
      </w:pPr>
    </w:p>
    <w:p w14:paraId="06BAABC7" w14:textId="77777777" w:rsidR="008B0F30" w:rsidRPr="00462EC9" w:rsidRDefault="008B0F30" w:rsidP="00394774">
      <w:pPr>
        <w:pStyle w:val="Footer"/>
        <w:jc w:val="both"/>
        <w:rPr>
          <w:rFonts w:ascii="Century Gothic" w:hAnsi="Century Gothic"/>
          <w:sz w:val="24"/>
          <w:szCs w:val="24"/>
        </w:rPr>
      </w:pPr>
    </w:p>
    <w:p w14:paraId="661C0105" w14:textId="1729E70C" w:rsidR="005B0996" w:rsidRPr="00462EC9" w:rsidRDefault="00000000" w:rsidP="00394774">
      <w:pPr>
        <w:pStyle w:val="Footer"/>
        <w:jc w:val="both"/>
        <w:rPr>
          <w:rFonts w:ascii="Century Gothic" w:hAnsi="Century Gothic"/>
          <w:sz w:val="24"/>
          <w:szCs w:val="24"/>
        </w:rPr>
      </w:pPr>
      <w:hyperlink r:id="rId24" w:anchor="/registration" w:history="1">
        <w:r w:rsidR="00DE7C94" w:rsidRPr="00462EC9">
          <w:rPr>
            <w:rStyle w:val="Hyperlink"/>
            <w:rFonts w:ascii="Century Gothic" w:hAnsi="Century Gothic"/>
            <w:sz w:val="24"/>
            <w:szCs w:val="24"/>
          </w:rPr>
          <w:t>U.S. Department of Transportation Fall/Winter 2024 Webinar Series on Climate Change and Transportation Topics</w:t>
        </w:r>
      </w:hyperlink>
    </w:p>
    <w:p w14:paraId="69A9740A" w14:textId="77777777" w:rsidR="00DE7C94" w:rsidRPr="00462EC9" w:rsidRDefault="00DE7C94" w:rsidP="00394774">
      <w:pPr>
        <w:pStyle w:val="Footer"/>
        <w:jc w:val="both"/>
        <w:rPr>
          <w:rFonts w:ascii="Century Gothic" w:hAnsi="Century Gothic"/>
          <w:sz w:val="24"/>
          <w:szCs w:val="24"/>
        </w:rPr>
      </w:pPr>
    </w:p>
    <w:p w14:paraId="5D361226" w14:textId="1D104744" w:rsidR="00552FB0" w:rsidRPr="00462EC9" w:rsidRDefault="00552FB0" w:rsidP="00394774">
      <w:pPr>
        <w:pStyle w:val="Footer"/>
        <w:jc w:val="both"/>
        <w:rPr>
          <w:rFonts w:ascii="Century Gothic" w:hAnsi="Century Gothic"/>
          <w:sz w:val="24"/>
          <w:szCs w:val="24"/>
        </w:rPr>
      </w:pPr>
      <w:r w:rsidRPr="00462EC9">
        <w:rPr>
          <w:rFonts w:ascii="Century Gothic" w:hAnsi="Century Gothic"/>
          <w:sz w:val="24"/>
          <w:szCs w:val="24"/>
        </w:rPr>
        <w:t>The USDOT Climate Change Center is hosting a 2024 webinar series on climate change and transportation topics, ranging from greenhouse gas reduction strategies to climate resilience activities to research and technology advancements.</w:t>
      </w:r>
    </w:p>
    <w:p w14:paraId="26D6F03D" w14:textId="77777777" w:rsidR="00F904EA" w:rsidRPr="00462EC9" w:rsidRDefault="00F904EA" w:rsidP="00394774">
      <w:pPr>
        <w:pStyle w:val="Footer"/>
        <w:jc w:val="both"/>
        <w:rPr>
          <w:rFonts w:ascii="Century Gothic" w:hAnsi="Century Gothic"/>
          <w:sz w:val="24"/>
          <w:szCs w:val="24"/>
        </w:rPr>
      </w:pPr>
    </w:p>
    <w:p w14:paraId="1ED25395" w14:textId="4013254B" w:rsidR="00DE7C94" w:rsidRPr="00462EC9" w:rsidRDefault="00DE7C94" w:rsidP="00DE7C94">
      <w:pPr>
        <w:pStyle w:val="Footer"/>
        <w:numPr>
          <w:ilvl w:val="0"/>
          <w:numId w:val="3"/>
        </w:numPr>
        <w:rPr>
          <w:rFonts w:ascii="Century Gothic" w:hAnsi="Century Gothic"/>
          <w:b/>
          <w:bCs/>
          <w:sz w:val="24"/>
          <w:szCs w:val="24"/>
        </w:rPr>
      </w:pPr>
      <w:r w:rsidRPr="00462EC9">
        <w:rPr>
          <w:rFonts w:ascii="Century Gothic" w:hAnsi="Century Gothic"/>
          <w:b/>
          <w:bCs/>
          <w:sz w:val="24"/>
          <w:szCs w:val="24"/>
        </w:rPr>
        <w:t>Resilient Transportation Infrastructure: DOT Climate Adaptation Plan 2024-2027 (Nov 14, 2:00 PM EST)</w:t>
      </w:r>
    </w:p>
    <w:p w14:paraId="139E8A2C" w14:textId="60124BBA" w:rsidR="00DE7C94" w:rsidRPr="00462EC9" w:rsidRDefault="00DE7C94" w:rsidP="00DE7C94">
      <w:pPr>
        <w:pStyle w:val="Footer"/>
        <w:numPr>
          <w:ilvl w:val="0"/>
          <w:numId w:val="3"/>
        </w:numPr>
        <w:rPr>
          <w:rFonts w:ascii="Century Gothic" w:hAnsi="Century Gothic"/>
          <w:b/>
          <w:bCs/>
          <w:sz w:val="24"/>
          <w:szCs w:val="24"/>
        </w:rPr>
      </w:pPr>
      <w:r w:rsidRPr="00462EC9">
        <w:rPr>
          <w:rFonts w:ascii="Century Gothic" w:hAnsi="Century Gothic"/>
          <w:b/>
          <w:bCs/>
          <w:sz w:val="24"/>
          <w:szCs w:val="24"/>
        </w:rPr>
        <w:t>Parking Reform as a Climate Strategy (Dec 11, 2:00 PM EST)</w:t>
      </w:r>
    </w:p>
    <w:p w14:paraId="3CF12DB4" w14:textId="2EB47810" w:rsidR="00552FB0" w:rsidRPr="00462EC9" w:rsidRDefault="00DE7C94" w:rsidP="00E92447">
      <w:pPr>
        <w:pStyle w:val="Footer"/>
        <w:numPr>
          <w:ilvl w:val="0"/>
          <w:numId w:val="3"/>
        </w:numPr>
        <w:rPr>
          <w:rFonts w:ascii="Century Gothic" w:hAnsi="Century Gothic"/>
          <w:b/>
          <w:bCs/>
          <w:sz w:val="24"/>
          <w:szCs w:val="24"/>
        </w:rPr>
      </w:pPr>
      <w:r w:rsidRPr="00462EC9">
        <w:rPr>
          <w:rFonts w:ascii="Century Gothic" w:hAnsi="Century Gothic"/>
          <w:b/>
          <w:bCs/>
          <w:sz w:val="24"/>
          <w:szCs w:val="24"/>
        </w:rPr>
        <w:t>Navigating Climate Challenges: Enhancing Transportation Resilience (Jan 15, 2:00 PM EST)</w:t>
      </w:r>
    </w:p>
    <w:p w14:paraId="5B4CD5E3" w14:textId="77777777" w:rsidR="006D69F2" w:rsidRPr="00462EC9" w:rsidRDefault="006D69F2" w:rsidP="00E01608">
      <w:pPr>
        <w:pStyle w:val="Footer"/>
        <w:ind w:left="720"/>
        <w:jc w:val="both"/>
        <w:rPr>
          <w:rFonts w:ascii="Century Gothic" w:hAnsi="Century Gothic"/>
          <w:sz w:val="24"/>
          <w:szCs w:val="24"/>
        </w:rPr>
      </w:pPr>
    </w:p>
    <w:p w14:paraId="435F883E" w14:textId="77777777" w:rsidR="006D69F2" w:rsidRPr="00462EC9" w:rsidRDefault="006D69F2" w:rsidP="00E01608">
      <w:pPr>
        <w:pStyle w:val="Footer"/>
        <w:ind w:left="720"/>
        <w:jc w:val="both"/>
        <w:rPr>
          <w:rFonts w:ascii="Century Gothic" w:hAnsi="Century Gothic"/>
          <w:sz w:val="24"/>
          <w:szCs w:val="24"/>
        </w:rPr>
      </w:pPr>
    </w:p>
    <w:p w14:paraId="3003E940" w14:textId="5C6EBC3A" w:rsidR="006D69F2" w:rsidRPr="00462EC9" w:rsidRDefault="00000000" w:rsidP="00E92447">
      <w:pPr>
        <w:spacing w:after="0"/>
        <w:rPr>
          <w:rFonts w:ascii="Century Gothic" w:hAnsi="Century Gothic"/>
          <w:color w:val="0563C1" w:themeColor="hyperlink"/>
          <w:sz w:val="24"/>
          <w:szCs w:val="24"/>
          <w:u w:val="single"/>
        </w:rPr>
      </w:pPr>
      <w:hyperlink r:id="rId25" w:history="1">
        <w:r w:rsidR="006D69F2" w:rsidRPr="00462EC9">
          <w:rPr>
            <w:rStyle w:val="Hyperlink"/>
            <w:rFonts w:ascii="Century Gothic" w:hAnsi="Century Gothic"/>
            <w:sz w:val="24"/>
            <w:szCs w:val="24"/>
          </w:rPr>
          <w:t>Roadmap to Success: A Caltrans Guide for Small Businesses</w:t>
        </w:r>
      </w:hyperlink>
      <w:r w:rsidR="006D69F2" w:rsidRPr="00462EC9">
        <w:rPr>
          <w:rFonts w:ascii="Century Gothic" w:hAnsi="Century Gothic"/>
          <w:color w:val="0563C1" w:themeColor="hyperlink"/>
          <w:sz w:val="24"/>
          <w:szCs w:val="24"/>
          <w:u w:val="single"/>
        </w:rPr>
        <w:br/>
      </w:r>
    </w:p>
    <w:p w14:paraId="73E0F8C9" w14:textId="67F60F05" w:rsidR="006D69F2" w:rsidRPr="00462EC9" w:rsidRDefault="00362532" w:rsidP="00DE7C94">
      <w:pPr>
        <w:spacing w:after="0"/>
        <w:jc w:val="both"/>
        <w:rPr>
          <w:rFonts w:ascii="Century Gothic" w:hAnsi="Century Gothic"/>
          <w:sz w:val="24"/>
          <w:szCs w:val="24"/>
        </w:rPr>
      </w:pPr>
      <w:r w:rsidRPr="00462EC9">
        <w:rPr>
          <w:rFonts w:ascii="Century Gothic" w:hAnsi="Century Gothic"/>
          <w:sz w:val="24"/>
          <w:szCs w:val="24"/>
        </w:rPr>
        <w:t xml:space="preserve">A </w:t>
      </w:r>
      <w:r w:rsidR="009360AF" w:rsidRPr="00462EC9">
        <w:rPr>
          <w:rFonts w:ascii="Century Gothic" w:hAnsi="Century Gothic"/>
          <w:sz w:val="24"/>
          <w:szCs w:val="24"/>
        </w:rPr>
        <w:t>contracting and procurement resource guide</w:t>
      </w:r>
      <w:r w:rsidR="006D69F2" w:rsidRPr="00462EC9">
        <w:rPr>
          <w:rFonts w:ascii="Century Gothic" w:hAnsi="Century Gothic"/>
          <w:sz w:val="24"/>
          <w:szCs w:val="24"/>
        </w:rPr>
        <w:t xml:space="preserve"> designed to help small businesses navigate the complexities of working with the California Department of Transportation (Caltrans). Th</w:t>
      </w:r>
      <w:r w:rsidR="009360AF" w:rsidRPr="00462EC9">
        <w:rPr>
          <w:rFonts w:ascii="Century Gothic" w:hAnsi="Century Gothic"/>
          <w:sz w:val="24"/>
          <w:szCs w:val="24"/>
        </w:rPr>
        <w:t>e</w:t>
      </w:r>
      <w:r w:rsidR="006D69F2" w:rsidRPr="00462EC9">
        <w:rPr>
          <w:rFonts w:ascii="Century Gothic" w:hAnsi="Century Gothic"/>
          <w:sz w:val="24"/>
          <w:szCs w:val="24"/>
        </w:rPr>
        <w:t xml:space="preserve"> </w:t>
      </w:r>
      <w:hyperlink r:id="rId26" w:history="1">
        <w:r w:rsidR="00912AA8" w:rsidRPr="00462EC9">
          <w:rPr>
            <w:rStyle w:val="Hyperlink"/>
            <w:rFonts w:ascii="Century Gothic" w:hAnsi="Century Gothic"/>
            <w:sz w:val="24"/>
            <w:szCs w:val="24"/>
          </w:rPr>
          <w:t>webinars</w:t>
        </w:r>
      </w:hyperlink>
      <w:r w:rsidR="00912AA8" w:rsidRPr="00462EC9">
        <w:rPr>
          <w:rFonts w:ascii="Century Gothic" w:hAnsi="Century Gothic"/>
          <w:sz w:val="24"/>
          <w:szCs w:val="24"/>
        </w:rPr>
        <w:t xml:space="preserve"> are</w:t>
      </w:r>
      <w:r w:rsidR="006D69F2" w:rsidRPr="00462EC9">
        <w:rPr>
          <w:rFonts w:ascii="Century Gothic" w:hAnsi="Century Gothic"/>
          <w:sz w:val="24"/>
          <w:szCs w:val="24"/>
        </w:rPr>
        <w:t xml:space="preserve"> aimed at assisting small businesses with certifications, bid documents, and public works projects. </w:t>
      </w:r>
    </w:p>
    <w:p w14:paraId="06B4FD96" w14:textId="77777777" w:rsidR="00DE7C94" w:rsidRPr="00462EC9" w:rsidRDefault="00DE7C94" w:rsidP="00E92447">
      <w:pPr>
        <w:spacing w:after="0"/>
        <w:jc w:val="both"/>
        <w:rPr>
          <w:rFonts w:ascii="Century Gothic" w:hAnsi="Century Gothic"/>
          <w:color w:val="0563C1" w:themeColor="hyperlink"/>
          <w:sz w:val="24"/>
          <w:szCs w:val="24"/>
          <w:u w:val="single"/>
        </w:rPr>
      </w:pPr>
    </w:p>
    <w:p w14:paraId="18B53B58" w14:textId="72F3C272" w:rsidR="006D69F2" w:rsidRPr="00462EC9" w:rsidRDefault="00C20BD2" w:rsidP="006D69F2">
      <w:pPr>
        <w:pStyle w:val="ListParagraph"/>
        <w:numPr>
          <w:ilvl w:val="0"/>
          <w:numId w:val="1"/>
        </w:numPr>
        <w:jc w:val="both"/>
        <w:rPr>
          <w:rFonts w:ascii="Century Gothic" w:hAnsi="Century Gothic"/>
          <w:b/>
          <w:bCs/>
          <w:sz w:val="24"/>
          <w:szCs w:val="24"/>
        </w:rPr>
      </w:pPr>
      <w:r w:rsidRPr="00462EC9">
        <w:rPr>
          <w:rFonts w:ascii="Century Gothic" w:hAnsi="Century Gothic"/>
          <w:b/>
          <w:bCs/>
          <w:sz w:val="24"/>
          <w:szCs w:val="24"/>
        </w:rPr>
        <w:t>S</w:t>
      </w:r>
      <w:r w:rsidR="006D69F2" w:rsidRPr="00462EC9">
        <w:rPr>
          <w:rFonts w:ascii="Century Gothic" w:hAnsi="Century Gothic"/>
          <w:b/>
          <w:bCs/>
          <w:sz w:val="24"/>
          <w:szCs w:val="24"/>
        </w:rPr>
        <w:t>cheduled November 4, 2024, to December 2, 2024</w:t>
      </w:r>
      <w:r w:rsidR="00DE7C94" w:rsidRPr="00462EC9">
        <w:rPr>
          <w:rFonts w:ascii="Century Gothic" w:hAnsi="Century Gothic"/>
          <w:b/>
          <w:bCs/>
          <w:sz w:val="24"/>
          <w:szCs w:val="24"/>
        </w:rPr>
        <w:t xml:space="preserve"> (9:30am – 10:30 am, PST)</w:t>
      </w:r>
    </w:p>
    <w:p w14:paraId="48CF0442" w14:textId="77777777" w:rsidR="00E01608" w:rsidRDefault="00E01608" w:rsidP="00E01608">
      <w:pPr>
        <w:pStyle w:val="Footer"/>
        <w:ind w:left="720"/>
        <w:jc w:val="both"/>
        <w:rPr>
          <w:rFonts w:ascii="Century Gothic" w:hAnsi="Century Gothic"/>
          <w:sz w:val="24"/>
          <w:szCs w:val="24"/>
        </w:rPr>
      </w:pPr>
    </w:p>
    <w:p w14:paraId="3C8AD189" w14:textId="5E093451" w:rsidR="005D0D08" w:rsidRPr="008E3F54" w:rsidRDefault="007626E2" w:rsidP="008E3F54">
      <w:pPr>
        <w:pStyle w:val="Footer"/>
        <w:rPr>
          <w:rFonts w:ascii="Century Gothic" w:hAnsi="Century Gothic"/>
          <w:sz w:val="24"/>
          <w:szCs w:val="24"/>
        </w:rPr>
      </w:pPr>
      <w:r w:rsidRPr="007626E2">
        <w:rPr>
          <w:rFonts w:ascii="Century Gothic" w:hAnsi="Century Gothic"/>
          <w:sz w:val="24"/>
          <w:szCs w:val="24"/>
        </w:rPr>
        <w:tab/>
      </w:r>
      <w:r w:rsidR="00E95CAE" w:rsidRPr="00E95CAE">
        <w:rPr>
          <w:rFonts w:ascii="Century Gothic" w:hAnsi="Century Gothic"/>
          <w:b/>
          <w:bCs/>
          <w:color w:val="002060"/>
          <w:position w:val="6"/>
          <w:sz w:val="34"/>
          <w:szCs w:val="34"/>
          <w:u w:val="thick" w:color="C00000"/>
        </w:rPr>
        <w:t>Training</w:t>
      </w:r>
      <w:r w:rsidR="00E95CAE" w:rsidRPr="00E95CAE">
        <w:rPr>
          <w:rFonts w:ascii="Century Gothic" w:hAnsi="Century Gothic"/>
          <w:b/>
          <w:bCs/>
          <w:color w:val="002060"/>
          <w:sz w:val="34"/>
          <w:szCs w:val="34"/>
          <w:u w:val="thick" w:color="C00000"/>
        </w:rPr>
        <w:t>__</w:t>
      </w:r>
      <w:r w:rsidR="00E95CAE">
        <w:rPr>
          <w:rFonts w:ascii="Century Gothic" w:hAnsi="Century Gothic"/>
          <w:b/>
          <w:bCs/>
          <w:color w:val="002060"/>
          <w:sz w:val="36"/>
          <w:szCs w:val="36"/>
          <w:u w:val="thick" w:color="C00000"/>
        </w:rPr>
        <w:t>_________________________________________________</w:t>
      </w:r>
      <w:r w:rsidR="00E95CAE">
        <w:rPr>
          <w:rFonts w:ascii="Century Gothic" w:hAnsi="Century Gothic"/>
          <w:b/>
          <w:bCs/>
          <w:color w:val="002060"/>
          <w:sz w:val="36"/>
          <w:szCs w:val="36"/>
          <w:u w:val="thick" w:color="C00000"/>
        </w:rPr>
        <w:br/>
      </w:r>
    </w:p>
    <w:p w14:paraId="532DB2C4" w14:textId="52FD2001" w:rsidR="005D0D08" w:rsidRPr="00A91797" w:rsidRDefault="00000000" w:rsidP="005D0D08">
      <w:pPr>
        <w:pStyle w:val="NormalWeb"/>
        <w:rPr>
          <w:rFonts w:ascii="Century Gothic" w:hAnsi="Century Gothic"/>
        </w:rPr>
      </w:pPr>
      <w:hyperlink r:id="rId27" w:history="1">
        <w:r w:rsidR="005D0D08" w:rsidRPr="00A91797">
          <w:rPr>
            <w:rStyle w:val="Hyperlink"/>
            <w:rFonts w:ascii="Century Gothic" w:hAnsi="Century Gothic"/>
          </w:rPr>
          <w:t>AWR-433-W: Climate Literacy for Emergency Managers</w:t>
        </w:r>
      </w:hyperlink>
    </w:p>
    <w:p w14:paraId="154672D7" w14:textId="61F5BCD6" w:rsidR="00E95CAE" w:rsidRPr="00A91797" w:rsidRDefault="00912AA8" w:rsidP="00631923">
      <w:pPr>
        <w:spacing w:line="240" w:lineRule="auto"/>
        <w:jc w:val="both"/>
        <w:rPr>
          <w:rFonts w:ascii="Century Gothic" w:hAnsi="Century Gothic"/>
          <w:sz w:val="24"/>
          <w:szCs w:val="24"/>
        </w:rPr>
      </w:pPr>
      <w:r>
        <w:rPr>
          <w:rFonts w:ascii="Century Gothic" w:hAnsi="Century Gothic"/>
          <w:sz w:val="24"/>
          <w:szCs w:val="24"/>
        </w:rPr>
        <w:t>The National Center for Disaster Preparedness (NCDP)</w:t>
      </w:r>
      <w:r w:rsidR="005D0D08" w:rsidRPr="00A91797">
        <w:rPr>
          <w:rFonts w:ascii="Century Gothic" w:hAnsi="Century Gothic"/>
          <w:sz w:val="24"/>
          <w:szCs w:val="24"/>
        </w:rPr>
        <w:t xml:space="preserve"> has created a national climate resilience curriculum focusing on equity for state, local, Tribal, and territorial emergency managers. AWR-433-W </w:t>
      </w:r>
      <w:r>
        <w:rPr>
          <w:rFonts w:ascii="Century Gothic" w:hAnsi="Century Gothic"/>
          <w:sz w:val="24"/>
          <w:szCs w:val="24"/>
        </w:rPr>
        <w:t xml:space="preserve">is a </w:t>
      </w:r>
      <w:r w:rsidR="005D0D08" w:rsidRPr="00A91797">
        <w:rPr>
          <w:rFonts w:ascii="Century Gothic" w:hAnsi="Century Gothic"/>
          <w:sz w:val="24"/>
          <w:szCs w:val="24"/>
        </w:rPr>
        <w:t>free, web-based training</w:t>
      </w:r>
      <w:r>
        <w:rPr>
          <w:rFonts w:ascii="Century Gothic" w:hAnsi="Century Gothic"/>
          <w:sz w:val="24"/>
          <w:szCs w:val="24"/>
        </w:rPr>
        <w:t xml:space="preserve"> that</w:t>
      </w:r>
      <w:r w:rsidR="005D0D08" w:rsidRPr="00A91797">
        <w:rPr>
          <w:rFonts w:ascii="Century Gothic" w:hAnsi="Century Gothic"/>
          <w:sz w:val="24"/>
          <w:szCs w:val="24"/>
        </w:rPr>
        <w:t xml:space="preserve"> gives learners an overview of climate change and how it relates to emergency management. The course reviews the root causes and addresses climate change's impacts on communities.  </w:t>
      </w:r>
    </w:p>
    <w:p w14:paraId="71F66EEC" w14:textId="2B5A47D8" w:rsidR="006C0211" w:rsidRPr="00462EC9" w:rsidRDefault="004059A0" w:rsidP="00CF686E">
      <w:pPr>
        <w:pStyle w:val="ListParagraph"/>
        <w:numPr>
          <w:ilvl w:val="0"/>
          <w:numId w:val="1"/>
        </w:numPr>
        <w:spacing w:line="240" w:lineRule="auto"/>
        <w:rPr>
          <w:rFonts w:ascii="Century Gothic" w:hAnsi="Century Gothic"/>
          <w:b/>
          <w:bCs/>
          <w:sz w:val="24"/>
          <w:szCs w:val="24"/>
          <w:u w:color="002060"/>
        </w:rPr>
      </w:pPr>
      <w:r w:rsidRPr="00462EC9">
        <w:rPr>
          <w:rFonts w:ascii="Century Gothic" w:hAnsi="Century Gothic"/>
          <w:b/>
          <w:bCs/>
          <w:sz w:val="24"/>
          <w:szCs w:val="24"/>
          <w:u w:color="002060"/>
        </w:rPr>
        <w:t>This course is</w:t>
      </w:r>
      <w:r w:rsidR="00530901" w:rsidRPr="00462EC9">
        <w:rPr>
          <w:rFonts w:ascii="Century Gothic" w:hAnsi="Century Gothic"/>
          <w:b/>
          <w:bCs/>
          <w:sz w:val="24"/>
          <w:szCs w:val="24"/>
          <w:u w:color="002060"/>
        </w:rPr>
        <w:t xml:space="preserve"> a</w:t>
      </w:r>
      <w:r w:rsidRPr="00462EC9">
        <w:rPr>
          <w:rFonts w:ascii="Century Gothic" w:hAnsi="Century Gothic"/>
          <w:b/>
          <w:bCs/>
          <w:sz w:val="24"/>
          <w:szCs w:val="24"/>
          <w:u w:color="002060"/>
        </w:rPr>
        <w:t xml:space="preserve"> self-paced</w:t>
      </w:r>
      <w:r w:rsidR="00530901" w:rsidRPr="00462EC9">
        <w:rPr>
          <w:rFonts w:ascii="Century Gothic" w:hAnsi="Century Gothic"/>
          <w:b/>
          <w:bCs/>
          <w:sz w:val="24"/>
          <w:szCs w:val="24"/>
          <w:u w:color="002060"/>
        </w:rPr>
        <w:t>, virtual course</w:t>
      </w:r>
    </w:p>
    <w:p w14:paraId="32D93CBE" w14:textId="77777777" w:rsidR="00CF686E" w:rsidRPr="00462EC9" w:rsidRDefault="00CF686E" w:rsidP="00CF686E">
      <w:pPr>
        <w:pStyle w:val="ListParagraph"/>
        <w:spacing w:line="240" w:lineRule="auto"/>
        <w:rPr>
          <w:rFonts w:ascii="Century Gothic" w:hAnsi="Century Gothic"/>
          <w:sz w:val="24"/>
          <w:szCs w:val="24"/>
          <w:u w:color="002060"/>
        </w:rPr>
      </w:pPr>
    </w:p>
    <w:p w14:paraId="3445414D" w14:textId="77777777" w:rsidR="005A7004" w:rsidRPr="00462EC9" w:rsidRDefault="00000000" w:rsidP="00250865">
      <w:pPr>
        <w:spacing w:line="240" w:lineRule="auto"/>
        <w:jc w:val="both"/>
        <w:rPr>
          <w:rFonts w:ascii="Century Gothic" w:hAnsi="Century Gothic"/>
          <w:sz w:val="24"/>
          <w:szCs w:val="24"/>
          <w:u w:color="002060"/>
        </w:rPr>
      </w:pPr>
      <w:hyperlink r:id="rId28" w:history="1">
        <w:r w:rsidR="004059A0" w:rsidRPr="00462EC9">
          <w:rPr>
            <w:rStyle w:val="Hyperlink"/>
            <w:rFonts w:ascii="Century Gothic" w:hAnsi="Century Gothic"/>
            <w:sz w:val="24"/>
            <w:szCs w:val="24"/>
          </w:rPr>
          <w:t>PER-420: Understanding Climate Risk - Hazard, Vulnerability, and Community Resilience</w:t>
        </w:r>
      </w:hyperlink>
    </w:p>
    <w:p w14:paraId="3BA7A7B7" w14:textId="07474BF2" w:rsidR="004059A0" w:rsidRPr="00462EC9" w:rsidRDefault="00362532" w:rsidP="00250865">
      <w:pPr>
        <w:spacing w:line="240" w:lineRule="auto"/>
        <w:jc w:val="both"/>
        <w:rPr>
          <w:rFonts w:ascii="Century Gothic" w:hAnsi="Century Gothic"/>
          <w:sz w:val="24"/>
          <w:szCs w:val="24"/>
          <w:u w:color="002060"/>
        </w:rPr>
      </w:pPr>
      <w:r w:rsidRPr="00462EC9">
        <w:rPr>
          <w:rFonts w:ascii="Century Gothic" w:hAnsi="Century Gothic"/>
          <w:sz w:val="24"/>
          <w:szCs w:val="24"/>
          <w:u w:color="002060"/>
        </w:rPr>
        <w:t>P</w:t>
      </w:r>
      <w:r w:rsidR="004059A0" w:rsidRPr="00462EC9">
        <w:rPr>
          <w:rFonts w:ascii="Century Gothic" w:hAnsi="Century Gothic"/>
          <w:sz w:val="24"/>
          <w:szCs w:val="24"/>
          <w:u w:color="002060"/>
        </w:rPr>
        <w:t>rovide</w:t>
      </w:r>
      <w:r w:rsidR="00912AA8" w:rsidRPr="00462EC9">
        <w:rPr>
          <w:rFonts w:ascii="Century Gothic" w:hAnsi="Century Gothic"/>
          <w:sz w:val="24"/>
          <w:szCs w:val="24"/>
          <w:u w:color="002060"/>
        </w:rPr>
        <w:t>s</w:t>
      </w:r>
      <w:r w:rsidR="004059A0" w:rsidRPr="00462EC9">
        <w:rPr>
          <w:rFonts w:ascii="Century Gothic" w:hAnsi="Century Gothic"/>
          <w:sz w:val="24"/>
          <w:szCs w:val="24"/>
          <w:u w:color="002060"/>
        </w:rPr>
        <w:t xml:space="preserve"> an overview of climate change and community resilience</w:t>
      </w:r>
      <w:r w:rsidR="00912AA8" w:rsidRPr="00462EC9">
        <w:rPr>
          <w:rFonts w:ascii="Century Gothic" w:hAnsi="Century Gothic"/>
          <w:sz w:val="24"/>
          <w:szCs w:val="24"/>
          <w:u w:color="002060"/>
        </w:rPr>
        <w:t xml:space="preserve"> and r</w:t>
      </w:r>
      <w:r w:rsidR="004059A0" w:rsidRPr="00462EC9">
        <w:rPr>
          <w:rFonts w:ascii="Century Gothic" w:hAnsi="Century Gothic"/>
          <w:sz w:val="24"/>
          <w:szCs w:val="24"/>
          <w:u w:color="002060"/>
        </w:rPr>
        <w:t>eview</w:t>
      </w:r>
      <w:r w:rsidR="00912AA8" w:rsidRPr="00462EC9">
        <w:rPr>
          <w:rFonts w:ascii="Century Gothic" w:hAnsi="Century Gothic"/>
          <w:sz w:val="24"/>
          <w:szCs w:val="24"/>
          <w:u w:color="002060"/>
        </w:rPr>
        <w:t>s</w:t>
      </w:r>
      <w:r w:rsidR="004059A0" w:rsidRPr="00462EC9">
        <w:rPr>
          <w:rFonts w:ascii="Century Gothic" w:hAnsi="Century Gothic"/>
          <w:sz w:val="24"/>
          <w:szCs w:val="24"/>
          <w:u w:color="002060"/>
        </w:rPr>
        <w:t xml:space="preserve"> available tools, such as the Resilience Analysis and Planning Tool (RAPT) and the National Risk Index (NRI)</w:t>
      </w:r>
      <w:r w:rsidR="00912AA8" w:rsidRPr="00462EC9">
        <w:rPr>
          <w:rFonts w:ascii="Century Gothic" w:hAnsi="Century Gothic"/>
          <w:sz w:val="24"/>
          <w:szCs w:val="24"/>
          <w:u w:color="002060"/>
        </w:rPr>
        <w:t xml:space="preserve">, and </w:t>
      </w:r>
      <w:r w:rsidR="004059A0" w:rsidRPr="00462EC9">
        <w:rPr>
          <w:rFonts w:ascii="Century Gothic" w:hAnsi="Century Gothic"/>
          <w:sz w:val="24"/>
          <w:szCs w:val="24"/>
          <w:u w:color="002060"/>
        </w:rPr>
        <w:t xml:space="preserve">how to use these tools to inform planning. Case studies and scenarios will </w:t>
      </w:r>
      <w:r w:rsidR="00F460EE" w:rsidRPr="00462EC9">
        <w:rPr>
          <w:rFonts w:ascii="Century Gothic" w:hAnsi="Century Gothic"/>
          <w:sz w:val="24"/>
          <w:szCs w:val="24"/>
          <w:u w:color="002060"/>
        </w:rPr>
        <w:t xml:space="preserve">also </w:t>
      </w:r>
      <w:r w:rsidR="004059A0" w:rsidRPr="00462EC9">
        <w:rPr>
          <w:rFonts w:ascii="Century Gothic" w:hAnsi="Century Gothic"/>
          <w:sz w:val="24"/>
          <w:szCs w:val="24"/>
          <w:u w:color="002060"/>
        </w:rPr>
        <w:t>be presented for learners to understand lessons learned regarding preparation for supply chain management in a changing climate.</w:t>
      </w:r>
    </w:p>
    <w:p w14:paraId="17FAE5FC" w14:textId="55393B42" w:rsidR="004059A0" w:rsidRPr="00462EC9" w:rsidRDefault="004059A0" w:rsidP="004059A0">
      <w:pPr>
        <w:pStyle w:val="ListParagraph"/>
        <w:numPr>
          <w:ilvl w:val="0"/>
          <w:numId w:val="1"/>
        </w:numPr>
        <w:spacing w:line="240" w:lineRule="auto"/>
        <w:rPr>
          <w:rFonts w:ascii="Century Gothic" w:hAnsi="Century Gothic"/>
          <w:b/>
          <w:bCs/>
          <w:sz w:val="24"/>
          <w:szCs w:val="24"/>
          <w:u w:color="002060"/>
        </w:rPr>
      </w:pPr>
      <w:r w:rsidRPr="00462EC9">
        <w:rPr>
          <w:rFonts w:ascii="Century Gothic" w:hAnsi="Century Gothic"/>
          <w:b/>
          <w:bCs/>
          <w:sz w:val="24"/>
          <w:szCs w:val="24"/>
          <w:u w:color="002060"/>
        </w:rPr>
        <w:t xml:space="preserve">This course </w:t>
      </w:r>
      <w:r w:rsidR="008E3F54" w:rsidRPr="00462EC9">
        <w:rPr>
          <w:rFonts w:ascii="Century Gothic" w:hAnsi="Century Gothic"/>
          <w:b/>
          <w:bCs/>
          <w:sz w:val="24"/>
          <w:szCs w:val="24"/>
          <w:u w:color="002060"/>
        </w:rPr>
        <w:t xml:space="preserve">is </w:t>
      </w:r>
      <w:r w:rsidRPr="00462EC9">
        <w:rPr>
          <w:rFonts w:ascii="Century Gothic" w:hAnsi="Century Gothic"/>
          <w:b/>
          <w:bCs/>
          <w:sz w:val="24"/>
          <w:szCs w:val="24"/>
          <w:u w:color="002060"/>
        </w:rPr>
        <w:t>virtual</w:t>
      </w:r>
      <w:r w:rsidR="00C20BD2" w:rsidRPr="00462EC9">
        <w:rPr>
          <w:rFonts w:ascii="Century Gothic" w:hAnsi="Century Gothic"/>
          <w:b/>
          <w:bCs/>
          <w:sz w:val="24"/>
          <w:szCs w:val="24"/>
          <w:u w:color="002060"/>
        </w:rPr>
        <w:t xml:space="preserve"> - </w:t>
      </w:r>
      <w:r w:rsidRPr="00462EC9">
        <w:rPr>
          <w:rFonts w:ascii="Century Gothic" w:hAnsi="Century Gothic"/>
          <w:b/>
          <w:bCs/>
          <w:sz w:val="24"/>
          <w:szCs w:val="24"/>
          <w:u w:color="002060"/>
        </w:rPr>
        <w:t>May 14, 2025, from 9 a.m. - 5:00 p.m. CT</w:t>
      </w:r>
    </w:p>
    <w:p w14:paraId="65B584C8" w14:textId="77777777" w:rsidR="005A7004" w:rsidRPr="00462EC9" w:rsidRDefault="005A7004" w:rsidP="005A7004">
      <w:pPr>
        <w:pStyle w:val="ListParagraph"/>
        <w:spacing w:line="240" w:lineRule="auto"/>
        <w:rPr>
          <w:rFonts w:ascii="Century Gothic" w:hAnsi="Century Gothic"/>
          <w:sz w:val="24"/>
          <w:szCs w:val="24"/>
          <w:u w:color="002060"/>
        </w:rPr>
      </w:pPr>
    </w:p>
    <w:p w14:paraId="01D8EFEE" w14:textId="0B33F0F3" w:rsidR="004059A0" w:rsidRPr="00462EC9" w:rsidRDefault="00000000" w:rsidP="004059A0">
      <w:pPr>
        <w:spacing w:line="240" w:lineRule="auto"/>
        <w:rPr>
          <w:rFonts w:ascii="Century Gothic" w:hAnsi="Century Gothic"/>
          <w:sz w:val="24"/>
          <w:szCs w:val="24"/>
          <w:u w:color="002060"/>
        </w:rPr>
      </w:pPr>
      <w:hyperlink r:id="rId29" w:history="1">
        <w:r w:rsidR="00BB2B51" w:rsidRPr="00462EC9">
          <w:rPr>
            <w:rStyle w:val="Hyperlink"/>
            <w:rFonts w:ascii="Century Gothic" w:hAnsi="Century Gothic"/>
            <w:sz w:val="24"/>
            <w:szCs w:val="24"/>
          </w:rPr>
          <w:t>PER-419: Understanding Climate Change and Social Vulnerability for Disaster Management</w:t>
        </w:r>
      </w:hyperlink>
    </w:p>
    <w:p w14:paraId="125024D5" w14:textId="0FA34399" w:rsidR="009A4872" w:rsidRPr="00462EC9" w:rsidRDefault="00362532" w:rsidP="00631923">
      <w:pPr>
        <w:spacing w:line="240" w:lineRule="auto"/>
        <w:jc w:val="both"/>
        <w:rPr>
          <w:rFonts w:ascii="Century Gothic" w:hAnsi="Century Gothic"/>
          <w:sz w:val="24"/>
          <w:szCs w:val="24"/>
          <w:u w:color="002060"/>
        </w:rPr>
      </w:pPr>
      <w:r w:rsidRPr="00462EC9">
        <w:rPr>
          <w:rFonts w:ascii="Century Gothic" w:hAnsi="Century Gothic"/>
          <w:sz w:val="24"/>
          <w:szCs w:val="24"/>
          <w:u w:color="002060"/>
        </w:rPr>
        <w:t>L</w:t>
      </w:r>
      <w:r w:rsidR="009A4872" w:rsidRPr="00462EC9">
        <w:rPr>
          <w:rFonts w:ascii="Century Gothic" w:hAnsi="Century Gothic"/>
          <w:sz w:val="24"/>
          <w:szCs w:val="24"/>
          <w:u w:color="002060"/>
        </w:rPr>
        <w:t xml:space="preserve">ive virtual training </w:t>
      </w:r>
      <w:r w:rsidRPr="00462EC9">
        <w:rPr>
          <w:rFonts w:ascii="Century Gothic" w:hAnsi="Century Gothic"/>
          <w:sz w:val="24"/>
          <w:szCs w:val="24"/>
          <w:u w:color="002060"/>
        </w:rPr>
        <w:t xml:space="preserve">that </w:t>
      </w:r>
      <w:r w:rsidR="009A4872" w:rsidRPr="00462EC9">
        <w:rPr>
          <w:rFonts w:ascii="Century Gothic" w:hAnsi="Century Gothic"/>
          <w:sz w:val="24"/>
          <w:szCs w:val="24"/>
          <w:u w:color="002060"/>
        </w:rPr>
        <w:t>will provide participants with an overview of climate change and its impact on disaster management and vulnerable populations. This course will review available tools, such as the Climate and Economic Justice Screening Tool, and discuss how to incorporate them into emergency plans.</w:t>
      </w:r>
      <w:r w:rsidR="00274ECA" w:rsidRPr="00462EC9">
        <w:rPr>
          <w:rFonts w:ascii="Century Gothic" w:hAnsi="Century Gothic"/>
          <w:sz w:val="24"/>
          <w:szCs w:val="24"/>
          <w:u w:color="002060"/>
        </w:rPr>
        <w:t xml:space="preserve"> The </w:t>
      </w:r>
      <w:r w:rsidR="00E97038" w:rsidRPr="00462EC9">
        <w:rPr>
          <w:rFonts w:ascii="Century Gothic" w:hAnsi="Century Gothic"/>
          <w:sz w:val="24"/>
          <w:szCs w:val="24"/>
          <w:u w:color="002060"/>
        </w:rPr>
        <w:t>course will</w:t>
      </w:r>
      <w:r w:rsidR="009A4872" w:rsidRPr="00462EC9">
        <w:rPr>
          <w:rFonts w:ascii="Century Gothic" w:hAnsi="Century Gothic"/>
          <w:sz w:val="24"/>
          <w:szCs w:val="24"/>
          <w:u w:color="002060"/>
        </w:rPr>
        <w:t xml:space="preserve"> also </w:t>
      </w:r>
      <w:r w:rsidR="00E97038" w:rsidRPr="00462EC9">
        <w:rPr>
          <w:rFonts w:ascii="Century Gothic" w:hAnsi="Century Gothic"/>
          <w:sz w:val="24"/>
          <w:szCs w:val="24"/>
          <w:u w:color="002060"/>
        </w:rPr>
        <w:t>cover</w:t>
      </w:r>
      <w:r w:rsidR="009A4872" w:rsidRPr="00462EC9">
        <w:rPr>
          <w:rFonts w:ascii="Century Gothic" w:hAnsi="Century Gothic"/>
          <w:sz w:val="24"/>
          <w:szCs w:val="24"/>
          <w:u w:color="002060"/>
        </w:rPr>
        <w:t xml:space="preserve"> how to incorporate equity in emergency planning.</w:t>
      </w:r>
    </w:p>
    <w:p w14:paraId="7FEF08FB" w14:textId="77777777" w:rsidR="004206D1" w:rsidRPr="00462EC9" w:rsidRDefault="009A4872" w:rsidP="00C85977">
      <w:pPr>
        <w:pStyle w:val="ListParagraph"/>
        <w:numPr>
          <w:ilvl w:val="0"/>
          <w:numId w:val="1"/>
        </w:numPr>
        <w:spacing w:line="240" w:lineRule="auto"/>
        <w:rPr>
          <w:rFonts w:ascii="Century Gothic" w:hAnsi="Century Gothic"/>
          <w:b/>
          <w:bCs/>
          <w:sz w:val="24"/>
          <w:szCs w:val="24"/>
          <w:u w:color="002060"/>
        </w:rPr>
      </w:pPr>
      <w:r w:rsidRPr="00462EC9">
        <w:rPr>
          <w:rFonts w:ascii="Century Gothic" w:hAnsi="Century Gothic"/>
          <w:b/>
          <w:bCs/>
          <w:sz w:val="24"/>
          <w:szCs w:val="24"/>
          <w:u w:color="002060"/>
        </w:rPr>
        <w:t xml:space="preserve">This course will be virtual and participation for both days is </w:t>
      </w:r>
      <w:r w:rsidR="004206D1" w:rsidRPr="00462EC9">
        <w:rPr>
          <w:rFonts w:ascii="Century Gothic" w:hAnsi="Century Gothic"/>
          <w:b/>
          <w:bCs/>
          <w:sz w:val="24"/>
          <w:szCs w:val="24"/>
          <w:u w:color="002060"/>
        </w:rPr>
        <w:t>required</w:t>
      </w:r>
      <w:r w:rsidRPr="00462EC9">
        <w:rPr>
          <w:rFonts w:ascii="Century Gothic" w:hAnsi="Century Gothic"/>
          <w:b/>
          <w:bCs/>
          <w:sz w:val="24"/>
          <w:szCs w:val="24"/>
          <w:u w:color="002060"/>
        </w:rPr>
        <w:t xml:space="preserve">. </w:t>
      </w:r>
    </w:p>
    <w:p w14:paraId="70A3502F" w14:textId="4642A153" w:rsidR="00702082" w:rsidRPr="00462EC9" w:rsidRDefault="009A4872" w:rsidP="00C85977">
      <w:pPr>
        <w:pStyle w:val="ListParagraph"/>
        <w:numPr>
          <w:ilvl w:val="0"/>
          <w:numId w:val="1"/>
        </w:numPr>
        <w:spacing w:line="240" w:lineRule="auto"/>
        <w:rPr>
          <w:rFonts w:ascii="Century Gothic" w:hAnsi="Century Gothic"/>
          <w:sz w:val="24"/>
          <w:szCs w:val="24"/>
          <w:u w:color="002060"/>
        </w:rPr>
      </w:pPr>
      <w:r w:rsidRPr="00462EC9">
        <w:rPr>
          <w:rFonts w:ascii="Century Gothic" w:hAnsi="Century Gothic"/>
          <w:b/>
          <w:bCs/>
          <w:sz w:val="24"/>
          <w:szCs w:val="24"/>
          <w:u w:color="002060"/>
        </w:rPr>
        <w:t>The training will take place on February 25</w:t>
      </w:r>
      <w:r w:rsidR="00E97038" w:rsidRPr="00462EC9">
        <w:rPr>
          <w:rFonts w:ascii="Century Gothic" w:hAnsi="Century Gothic"/>
          <w:b/>
          <w:bCs/>
          <w:sz w:val="24"/>
          <w:szCs w:val="24"/>
          <w:u w:color="002060"/>
        </w:rPr>
        <w:t>-</w:t>
      </w:r>
      <w:r w:rsidRPr="00462EC9">
        <w:rPr>
          <w:rFonts w:ascii="Century Gothic" w:hAnsi="Century Gothic"/>
          <w:b/>
          <w:bCs/>
          <w:sz w:val="24"/>
          <w:szCs w:val="24"/>
          <w:u w:color="002060"/>
        </w:rPr>
        <w:t>26, 2025, from 9:00 a.m. - 1:00 p.m. CT</w:t>
      </w:r>
      <w:r w:rsidR="00E97038" w:rsidRPr="00462EC9">
        <w:rPr>
          <w:rFonts w:ascii="Century Gothic" w:hAnsi="Century Gothic"/>
          <w:b/>
          <w:bCs/>
          <w:sz w:val="24"/>
          <w:szCs w:val="24"/>
          <w:u w:color="002060"/>
        </w:rPr>
        <w:t xml:space="preserve"> </w:t>
      </w:r>
      <w:r w:rsidR="00C46D11" w:rsidRPr="00462EC9">
        <w:rPr>
          <w:rFonts w:ascii="Century Gothic" w:hAnsi="Century Gothic"/>
          <w:sz w:val="24"/>
          <w:szCs w:val="24"/>
          <w:u w:color="002060"/>
        </w:rPr>
        <w:br/>
      </w:r>
    </w:p>
    <w:p w14:paraId="1CF5489A" w14:textId="30480D43" w:rsidR="00C85977" w:rsidRPr="00462EC9" w:rsidRDefault="00000000" w:rsidP="00C85977">
      <w:pPr>
        <w:spacing w:line="240" w:lineRule="auto"/>
        <w:rPr>
          <w:rFonts w:ascii="Century Gothic" w:hAnsi="Century Gothic"/>
          <w:sz w:val="24"/>
          <w:szCs w:val="24"/>
          <w:u w:color="002060"/>
        </w:rPr>
      </w:pPr>
      <w:hyperlink r:id="rId30" w:history="1">
        <w:r w:rsidR="00617207" w:rsidRPr="00462EC9">
          <w:rPr>
            <w:rStyle w:val="Hyperlink"/>
            <w:rFonts w:ascii="Century Gothic" w:hAnsi="Century Gothic"/>
            <w:sz w:val="24"/>
            <w:szCs w:val="24"/>
          </w:rPr>
          <w:t xml:space="preserve">AWR-347: Climate Adaptation Planning </w:t>
        </w:r>
        <w:r w:rsidR="00C46D11" w:rsidRPr="00462EC9">
          <w:rPr>
            <w:rStyle w:val="Hyperlink"/>
            <w:rFonts w:ascii="Century Gothic" w:hAnsi="Century Gothic"/>
            <w:sz w:val="24"/>
            <w:szCs w:val="24"/>
          </w:rPr>
          <w:t xml:space="preserve">for Emergency Management </w:t>
        </w:r>
      </w:hyperlink>
    </w:p>
    <w:p w14:paraId="01AEE152" w14:textId="35F7124E" w:rsidR="003F0EAE" w:rsidRPr="00462EC9" w:rsidRDefault="00362532" w:rsidP="00572F07">
      <w:pPr>
        <w:spacing w:line="240" w:lineRule="auto"/>
        <w:jc w:val="both"/>
        <w:rPr>
          <w:rFonts w:ascii="Century Gothic" w:hAnsi="Century Gothic"/>
          <w:sz w:val="24"/>
          <w:szCs w:val="24"/>
          <w:u w:color="002060"/>
        </w:rPr>
      </w:pPr>
      <w:r w:rsidRPr="00462EC9">
        <w:rPr>
          <w:rFonts w:ascii="Century Gothic" w:hAnsi="Century Gothic"/>
          <w:sz w:val="24"/>
          <w:szCs w:val="24"/>
          <w:u w:color="002060"/>
        </w:rPr>
        <w:t>B</w:t>
      </w:r>
      <w:r w:rsidR="003F0EAE" w:rsidRPr="00462EC9">
        <w:rPr>
          <w:rFonts w:ascii="Century Gothic" w:hAnsi="Century Gothic"/>
          <w:sz w:val="24"/>
          <w:szCs w:val="24"/>
          <w:u w:color="002060"/>
        </w:rPr>
        <w:t>uild</w:t>
      </w:r>
      <w:r w:rsidRPr="00462EC9">
        <w:rPr>
          <w:rFonts w:ascii="Century Gothic" w:hAnsi="Century Gothic"/>
          <w:sz w:val="24"/>
          <w:szCs w:val="24"/>
          <w:u w:color="002060"/>
        </w:rPr>
        <w:t>s</w:t>
      </w:r>
      <w:r w:rsidR="003F0EAE" w:rsidRPr="00462EC9">
        <w:rPr>
          <w:rFonts w:ascii="Century Gothic" w:hAnsi="Century Gothic"/>
          <w:sz w:val="24"/>
          <w:szCs w:val="24"/>
          <w:u w:color="002060"/>
        </w:rPr>
        <w:t xml:space="preserve"> awareness of future climate hazards and impacts that the emergency services sector may face</w:t>
      </w:r>
      <w:r w:rsidR="00EE5377" w:rsidRPr="00462EC9">
        <w:rPr>
          <w:rFonts w:ascii="Century Gothic" w:hAnsi="Century Gothic"/>
          <w:sz w:val="24"/>
          <w:szCs w:val="24"/>
          <w:u w:color="002060"/>
        </w:rPr>
        <w:t xml:space="preserve"> to help </w:t>
      </w:r>
      <w:r w:rsidR="003F0EAE" w:rsidRPr="00462EC9">
        <w:rPr>
          <w:rFonts w:ascii="Century Gothic" w:hAnsi="Century Gothic"/>
          <w:sz w:val="24"/>
          <w:szCs w:val="24"/>
          <w:u w:color="002060"/>
        </w:rPr>
        <w:t xml:space="preserve">emergency services and the community better prepare for the climate adaptations necessary and systems vulnerabilities that may occur from hazard impacts. Participants will gain an understanding of how to identify and apply adaptation strategies to address local emergency services sector vulnerabilities. The </w:t>
      </w:r>
      <w:r w:rsidR="00EE5377" w:rsidRPr="00462EC9">
        <w:rPr>
          <w:rFonts w:ascii="Century Gothic" w:hAnsi="Century Gothic"/>
          <w:sz w:val="24"/>
          <w:szCs w:val="24"/>
          <w:u w:color="002060"/>
        </w:rPr>
        <w:t>training</w:t>
      </w:r>
      <w:r w:rsidR="003F0EAE" w:rsidRPr="00462EC9">
        <w:rPr>
          <w:rFonts w:ascii="Century Gothic" w:hAnsi="Century Gothic"/>
          <w:sz w:val="24"/>
          <w:szCs w:val="24"/>
          <w:u w:color="002060"/>
        </w:rPr>
        <w:t xml:space="preserve"> is also designed to provide opportunities for participants to learn about various resources that can be used to implement local climate adaptation strategies in their communities.</w:t>
      </w:r>
    </w:p>
    <w:p w14:paraId="1E8C0145" w14:textId="20081DD9" w:rsidR="00572F07" w:rsidRPr="00462EC9" w:rsidRDefault="00572F07" w:rsidP="0038760E">
      <w:pPr>
        <w:pStyle w:val="ListParagraph"/>
        <w:numPr>
          <w:ilvl w:val="0"/>
          <w:numId w:val="1"/>
        </w:numPr>
        <w:spacing w:line="240" w:lineRule="auto"/>
        <w:jc w:val="both"/>
        <w:rPr>
          <w:rFonts w:ascii="Century Gothic" w:hAnsi="Century Gothic"/>
          <w:b/>
          <w:bCs/>
          <w:sz w:val="24"/>
          <w:szCs w:val="24"/>
          <w:u w:color="002060"/>
        </w:rPr>
      </w:pPr>
      <w:r w:rsidRPr="00462EC9">
        <w:rPr>
          <w:rFonts w:ascii="Century Gothic" w:hAnsi="Century Gothic"/>
          <w:b/>
          <w:bCs/>
          <w:sz w:val="24"/>
          <w:szCs w:val="24"/>
          <w:u w:color="002060"/>
        </w:rPr>
        <w:t xml:space="preserve">This course is an 8-hour </w:t>
      </w:r>
      <w:r w:rsidR="005469A1" w:rsidRPr="00462EC9">
        <w:rPr>
          <w:rFonts w:ascii="Century Gothic" w:hAnsi="Century Gothic"/>
          <w:b/>
          <w:bCs/>
          <w:sz w:val="24"/>
          <w:szCs w:val="24"/>
          <w:u w:color="002060"/>
        </w:rPr>
        <w:t>two-day</w:t>
      </w:r>
      <w:r w:rsidRPr="00462EC9">
        <w:rPr>
          <w:rFonts w:ascii="Century Gothic" w:hAnsi="Century Gothic"/>
          <w:b/>
          <w:bCs/>
          <w:sz w:val="24"/>
          <w:szCs w:val="24"/>
          <w:u w:color="002060"/>
        </w:rPr>
        <w:t xml:space="preserve"> course</w:t>
      </w:r>
      <w:r w:rsidR="00B546CF" w:rsidRPr="00462EC9">
        <w:rPr>
          <w:rFonts w:ascii="Century Gothic" w:hAnsi="Century Gothic"/>
          <w:b/>
          <w:bCs/>
          <w:sz w:val="24"/>
          <w:szCs w:val="24"/>
          <w:u w:color="002060"/>
        </w:rPr>
        <w:t xml:space="preserve"> on January 14-15, 2025</w:t>
      </w:r>
      <w:r w:rsidR="005469A1" w:rsidRPr="00462EC9">
        <w:rPr>
          <w:rFonts w:ascii="Century Gothic" w:hAnsi="Century Gothic"/>
          <w:b/>
          <w:bCs/>
          <w:sz w:val="24"/>
          <w:szCs w:val="24"/>
          <w:u w:color="002060"/>
        </w:rPr>
        <w:t>, from 12:00 – 4:00 PM EST</w:t>
      </w:r>
    </w:p>
    <w:p w14:paraId="73F9F963" w14:textId="77777777" w:rsidR="00C20BD2" w:rsidRPr="005469A1" w:rsidRDefault="00C20BD2" w:rsidP="00E92447">
      <w:pPr>
        <w:spacing w:line="240" w:lineRule="auto"/>
        <w:jc w:val="both"/>
        <w:rPr>
          <w:rFonts w:ascii="Century Gothic" w:hAnsi="Century Gothic"/>
          <w:sz w:val="24"/>
          <w:szCs w:val="24"/>
          <w:u w:color="002060"/>
        </w:rPr>
      </w:pPr>
    </w:p>
    <w:p w14:paraId="77C67BDC" w14:textId="486E9159" w:rsidR="00E95CAE" w:rsidRPr="004633A9" w:rsidRDefault="00E95CAE" w:rsidP="004633A9">
      <w:pPr>
        <w:spacing w:line="240" w:lineRule="auto"/>
        <w:rPr>
          <w:rFonts w:ascii="Century Gothic" w:hAnsi="Century Gothic"/>
          <w:u w:color="002060"/>
        </w:rPr>
      </w:pPr>
      <w:r w:rsidRPr="004633A9">
        <w:rPr>
          <w:rFonts w:ascii="Century Gothic" w:hAnsi="Century Gothic"/>
          <w:b/>
          <w:bCs/>
          <w:color w:val="002060"/>
          <w:position w:val="6"/>
          <w:sz w:val="34"/>
          <w:szCs w:val="34"/>
          <w:u w:val="thick" w:color="C00000"/>
          <w14:numSpacing w14:val="proportional"/>
        </w:rPr>
        <w:t>Resources</w:t>
      </w:r>
      <w:r w:rsidRPr="004633A9">
        <w:rPr>
          <w:rFonts w:ascii="Century Gothic" w:hAnsi="Century Gothic"/>
          <w:b/>
          <w:bCs/>
          <w:color w:val="002060"/>
          <w:sz w:val="34"/>
          <w:szCs w:val="34"/>
          <w:u w:val="thick" w:color="C00000"/>
        </w:rPr>
        <w:t>__</w:t>
      </w:r>
      <w:r w:rsidRPr="004633A9">
        <w:rPr>
          <w:rFonts w:ascii="Century Gothic" w:hAnsi="Century Gothic"/>
          <w:b/>
          <w:bCs/>
          <w:color w:val="002060"/>
          <w:sz w:val="28"/>
          <w:szCs w:val="28"/>
          <w:u w:val="thick" w:color="C00000"/>
        </w:rPr>
        <w:t>_____________________________________________________________</w:t>
      </w:r>
      <w:r w:rsidRPr="004633A9">
        <w:rPr>
          <w:rFonts w:ascii="Century Gothic" w:hAnsi="Century Gothic"/>
        </w:rPr>
        <w:br/>
      </w:r>
    </w:p>
    <w:p w14:paraId="517696DA" w14:textId="628603B0" w:rsidR="00362532" w:rsidRPr="00462EC9" w:rsidRDefault="00000000" w:rsidP="00E92447">
      <w:pPr>
        <w:pStyle w:val="NormalWeb"/>
        <w:spacing w:before="0" w:beforeAutospacing="0" w:after="0" w:afterAutospacing="0"/>
        <w:rPr>
          <w:rFonts w:ascii="Century Gothic" w:hAnsi="Century Gothic"/>
        </w:rPr>
      </w:pPr>
      <w:hyperlink r:id="rId31" w:history="1">
        <w:r w:rsidR="004B0F3C" w:rsidRPr="00462EC9">
          <w:rPr>
            <w:rStyle w:val="Hyperlink"/>
            <w:rFonts w:ascii="Century Gothic" w:hAnsi="Century Gothic"/>
          </w:rPr>
          <w:t xml:space="preserve">U.S. Chamber of Commerce Foundation: Resilience </w:t>
        </w:r>
        <w:r w:rsidR="00C64010" w:rsidRPr="00462EC9">
          <w:rPr>
            <w:rStyle w:val="Hyperlink"/>
            <w:rFonts w:ascii="Century Gothic" w:hAnsi="Century Gothic"/>
          </w:rPr>
          <w:t>in</w:t>
        </w:r>
        <w:r w:rsidR="004B0F3C" w:rsidRPr="00462EC9">
          <w:rPr>
            <w:rStyle w:val="Hyperlink"/>
            <w:rFonts w:ascii="Century Gothic" w:hAnsi="Century Gothic"/>
          </w:rPr>
          <w:t xml:space="preserve"> </w:t>
        </w:r>
        <w:r w:rsidR="005F190B" w:rsidRPr="00462EC9">
          <w:rPr>
            <w:rStyle w:val="Hyperlink"/>
            <w:rFonts w:ascii="Century Gothic" w:hAnsi="Century Gothic"/>
          </w:rPr>
          <w:t>a</w:t>
        </w:r>
        <w:r w:rsidR="004B0F3C" w:rsidRPr="00462EC9">
          <w:rPr>
            <w:rStyle w:val="Hyperlink"/>
            <w:rFonts w:ascii="Century Gothic" w:hAnsi="Century Gothic"/>
          </w:rPr>
          <w:t xml:space="preserve"> Box</w:t>
        </w:r>
      </w:hyperlink>
    </w:p>
    <w:p w14:paraId="309A7157" w14:textId="7C9A3A6C" w:rsidR="001613C6" w:rsidRPr="00462EC9" w:rsidRDefault="004B0F3C" w:rsidP="00E92447">
      <w:pPr>
        <w:pStyle w:val="NormalWeb"/>
        <w:rPr>
          <w:rFonts w:ascii="Century Gothic" w:hAnsi="Century Gothic"/>
        </w:rPr>
      </w:pPr>
      <w:r w:rsidRPr="00462EC9">
        <w:rPr>
          <w:rFonts w:ascii="Century Gothic" w:hAnsi="Century Gothic"/>
        </w:rPr>
        <w:t xml:space="preserve">Resilience in a Box </w:t>
      </w:r>
      <w:r w:rsidR="001613C6" w:rsidRPr="00462EC9">
        <w:rPr>
          <w:rFonts w:ascii="Century Gothic" w:hAnsi="Century Gothic"/>
        </w:rPr>
        <w:t xml:space="preserve">is intended to help </w:t>
      </w:r>
      <w:r w:rsidRPr="00462EC9">
        <w:rPr>
          <w:rFonts w:ascii="Century Gothic" w:hAnsi="Century Gothic"/>
        </w:rPr>
        <w:t>educate businesses on how to prepare for disasters of all kinds, while building in flexibility to handle potential business interruptions.</w:t>
      </w:r>
      <w:r w:rsidR="001613C6" w:rsidRPr="00462EC9">
        <w:rPr>
          <w:rFonts w:ascii="Century Gothic" w:hAnsi="Century Gothic"/>
        </w:rPr>
        <w:t xml:space="preserve"> </w:t>
      </w:r>
      <w:r w:rsidRPr="00462EC9">
        <w:rPr>
          <w:rFonts w:ascii="Century Gothic" w:hAnsi="Century Gothic"/>
        </w:rPr>
        <w:t xml:space="preserve">The resources available include a </w:t>
      </w:r>
      <w:hyperlink r:id="rId32" w:anchor="asset:30609@1" w:history="1">
        <w:r w:rsidRPr="00462EC9">
          <w:rPr>
            <w:rStyle w:val="Hyperlink"/>
            <w:rFonts w:ascii="Century Gothic" w:hAnsi="Century Gothic"/>
            <w:color w:val="auto"/>
          </w:rPr>
          <w:t>Resilience 101 Workbook</w:t>
        </w:r>
      </w:hyperlink>
      <w:r w:rsidRPr="00462EC9">
        <w:rPr>
          <w:rFonts w:ascii="Century Gothic" w:hAnsi="Century Gothic"/>
        </w:rPr>
        <w:t>, which acts as a guide for small businesses and large companies strive toward preparedness issues, preparedness checklists, geared towards assessing six critical assets before a disaster occurs, and Disaster Resistant Business (DRB) Workbook, D</w:t>
      </w:r>
      <w:r w:rsidR="001613C6" w:rsidRPr="00462EC9">
        <w:rPr>
          <w:rFonts w:ascii="Century Gothic" w:hAnsi="Century Gothic"/>
        </w:rPr>
        <w:t>RB</w:t>
      </w:r>
      <w:r w:rsidRPr="00462EC9">
        <w:rPr>
          <w:rFonts w:ascii="Century Gothic" w:hAnsi="Century Gothic"/>
        </w:rPr>
        <w:t xml:space="preserve"> toolkits, and more. </w:t>
      </w:r>
    </w:p>
    <w:p w14:paraId="1F7C3EB3" w14:textId="43C03539" w:rsidR="00F904EA" w:rsidRDefault="00F904EA" w:rsidP="00E92447">
      <w:pPr>
        <w:pStyle w:val="NormalWeb"/>
        <w:spacing w:before="0" w:beforeAutospacing="0" w:after="0" w:afterAutospacing="0"/>
        <w:jc w:val="both"/>
        <w:rPr>
          <w:rFonts w:ascii="Century Gothic" w:hAnsi="Century Gothic"/>
        </w:rPr>
      </w:pPr>
    </w:p>
    <w:p w14:paraId="59E86155" w14:textId="77777777" w:rsidR="008B0F30" w:rsidRDefault="008B0F30" w:rsidP="00E92447">
      <w:pPr>
        <w:pStyle w:val="NormalWeb"/>
        <w:spacing w:before="0" w:beforeAutospacing="0" w:after="0" w:afterAutospacing="0"/>
        <w:jc w:val="both"/>
        <w:rPr>
          <w:rFonts w:ascii="Century Gothic" w:hAnsi="Century Gothic"/>
        </w:rPr>
      </w:pPr>
    </w:p>
    <w:p w14:paraId="4672A3E3" w14:textId="77777777" w:rsidR="008B0F30" w:rsidRPr="00462EC9" w:rsidRDefault="008B0F30" w:rsidP="00E92447">
      <w:pPr>
        <w:pStyle w:val="NormalWeb"/>
        <w:spacing w:before="0" w:beforeAutospacing="0" w:after="0" w:afterAutospacing="0"/>
        <w:jc w:val="both"/>
        <w:rPr>
          <w:rFonts w:ascii="Century Gothic" w:hAnsi="Century Gothic"/>
        </w:rPr>
      </w:pPr>
    </w:p>
    <w:p w14:paraId="3C4B221F" w14:textId="3BD539F3" w:rsidR="00713668" w:rsidRPr="00462EC9" w:rsidRDefault="00000000" w:rsidP="00E92447">
      <w:pPr>
        <w:pStyle w:val="NormalWeb"/>
        <w:spacing w:before="0" w:beforeAutospacing="0"/>
        <w:jc w:val="both"/>
        <w:rPr>
          <w:rFonts w:ascii="Century Gothic" w:hAnsi="Century Gothic"/>
        </w:rPr>
      </w:pPr>
      <w:hyperlink r:id="rId33" w:history="1">
        <w:r w:rsidR="00713668" w:rsidRPr="00462EC9">
          <w:rPr>
            <w:rStyle w:val="Hyperlink"/>
            <w:rFonts w:ascii="Century Gothic" w:hAnsi="Century Gothic"/>
          </w:rPr>
          <w:t xml:space="preserve">Climate Resolve’s Grant Writing Assistance Program </w:t>
        </w:r>
      </w:hyperlink>
    </w:p>
    <w:p w14:paraId="24ECD169" w14:textId="437C1E11" w:rsidR="003C7C1C" w:rsidRPr="00462EC9" w:rsidRDefault="00713668" w:rsidP="00713668">
      <w:pPr>
        <w:pStyle w:val="NormalWeb"/>
        <w:jc w:val="both"/>
        <w:rPr>
          <w:rFonts w:ascii="Century Gothic" w:hAnsi="Century Gothic"/>
        </w:rPr>
      </w:pPr>
      <w:r w:rsidRPr="00462EC9">
        <w:rPr>
          <w:rFonts w:ascii="Century Gothic" w:hAnsi="Century Gothic"/>
        </w:rPr>
        <w:t>Climate Resolve’s no-cost grant writing services build local adaptive capacity and help invest grant funding in local communities, which preserves and stimulates economic growth. The “Ready for Tomorrow” program connects disadvantaged communities and disadvantaged vulnerable communities in Southern California to climate planning research, funding, and resources. </w:t>
      </w:r>
      <w:r w:rsidR="003C7C1C" w:rsidRPr="00462EC9">
        <w:rPr>
          <w:rFonts w:ascii="Century Gothic" w:hAnsi="Century Gothic"/>
        </w:rPr>
        <w:br/>
      </w:r>
    </w:p>
    <w:p w14:paraId="731B36C6" w14:textId="7259E29F" w:rsidR="00462EC9" w:rsidRPr="00462EC9" w:rsidRDefault="00000000" w:rsidP="001613C6">
      <w:pPr>
        <w:pStyle w:val="NormalWeb"/>
        <w:jc w:val="both"/>
        <w:rPr>
          <w:rFonts w:ascii="Century Gothic" w:hAnsi="Century Gothic"/>
          <w:color w:val="1B1B1B"/>
          <w:shd w:val="clear" w:color="auto" w:fill="FFFFFF"/>
        </w:rPr>
      </w:pPr>
      <w:hyperlink r:id="rId34" w:anchor="About%20the%20Program" w:history="1">
        <w:r w:rsidR="00462EC9" w:rsidRPr="00462EC9">
          <w:rPr>
            <w:rStyle w:val="Hyperlink"/>
            <w:rFonts w:ascii="Century Gothic" w:hAnsi="Century Gothic"/>
            <w:shd w:val="clear" w:color="auto" w:fill="FFFFFF"/>
          </w:rPr>
          <w:t>U.S. Environmental Protection Agency: Sustainable Communities Accelerator Network</w:t>
        </w:r>
      </w:hyperlink>
    </w:p>
    <w:p w14:paraId="34274598" w14:textId="51277E0A" w:rsidR="00713668" w:rsidRPr="00462EC9" w:rsidRDefault="004633A9" w:rsidP="001613C6">
      <w:pPr>
        <w:pStyle w:val="NormalWeb"/>
        <w:jc w:val="both"/>
        <w:rPr>
          <w:rFonts w:ascii="Century Gothic" w:hAnsi="Century Gothic"/>
          <w:color w:val="1B1B1B"/>
          <w:shd w:val="clear" w:color="auto" w:fill="FFFFFF"/>
        </w:rPr>
      </w:pPr>
      <w:r w:rsidRPr="00462EC9">
        <w:rPr>
          <w:rFonts w:ascii="Century Gothic" w:hAnsi="Century Gothic"/>
          <w:color w:val="1B1B1B"/>
          <w:shd w:val="clear" w:color="auto" w:fill="FFFFFF"/>
        </w:rPr>
        <w:t>EPA's Office of Community Revitalization is launching the Sustainable Communities Accelerator Network, a national peer learning program to support local leaders in implementing plans to prioritize </w:t>
      </w:r>
      <w:r w:rsidRPr="00462EC9">
        <w:rPr>
          <w:rFonts w:ascii="Century Gothic" w:hAnsi="Century Gothic"/>
        </w:rPr>
        <w:t>sustainability</w:t>
      </w:r>
      <w:r w:rsidRPr="00462EC9">
        <w:rPr>
          <w:rFonts w:ascii="Century Gothic" w:hAnsi="Century Gothic"/>
          <w:color w:val="1B1B1B"/>
          <w:shd w:val="clear" w:color="auto" w:fill="FFFFFF"/>
        </w:rPr>
        <w:t> actions in their communities.</w:t>
      </w:r>
      <w:r w:rsidR="006F194E" w:rsidRPr="00462EC9">
        <w:rPr>
          <w:rFonts w:ascii="Century Gothic" w:hAnsi="Century Gothic"/>
          <w:color w:val="1B1B1B"/>
          <w:shd w:val="clear" w:color="auto" w:fill="FFFFFF"/>
        </w:rPr>
        <w:t xml:space="preserve"> The Sustainable Communities Accelerator Network will expand the capacity of teams to move an idea from paper to action and enable participants to share experiences and learn from one another. </w:t>
      </w:r>
    </w:p>
    <w:p w14:paraId="170639A7" w14:textId="751565E8" w:rsidR="001613C6" w:rsidRPr="00462EC9" w:rsidRDefault="00000000" w:rsidP="008B0F30">
      <w:pPr>
        <w:pStyle w:val="NormalWeb"/>
        <w:numPr>
          <w:ilvl w:val="0"/>
          <w:numId w:val="1"/>
        </w:numPr>
        <w:spacing w:before="0" w:beforeAutospacing="0"/>
        <w:rPr>
          <w:rStyle w:val="Hyperlink"/>
          <w:rFonts w:ascii="Century Gothic" w:hAnsi="Century Gothic"/>
          <w:color w:val="auto"/>
          <w:u w:val="none"/>
        </w:rPr>
      </w:pPr>
      <w:hyperlink r:id="rId35" w:anchor="How%20to%20Apply" w:history="1">
        <w:r w:rsidR="009E70F7" w:rsidRPr="00462EC9">
          <w:rPr>
            <w:rStyle w:val="Hyperlink"/>
            <w:rFonts w:ascii="Century Gothic" w:hAnsi="Century Gothic"/>
            <w:color w:val="auto"/>
          </w:rPr>
          <w:t>Application deadline</w:t>
        </w:r>
        <w:r w:rsidR="008E3F54" w:rsidRPr="00462EC9">
          <w:rPr>
            <w:rStyle w:val="Hyperlink"/>
            <w:rFonts w:ascii="Century Gothic" w:hAnsi="Century Gothic"/>
            <w:color w:val="auto"/>
          </w:rPr>
          <w:t xml:space="preserve"> to apply</w:t>
        </w:r>
        <w:r w:rsidR="009E70F7" w:rsidRPr="00462EC9">
          <w:rPr>
            <w:rStyle w:val="Hyperlink"/>
            <w:rFonts w:ascii="Century Gothic" w:hAnsi="Century Gothic"/>
            <w:color w:val="auto"/>
          </w:rPr>
          <w:t xml:space="preserve"> is November 13, 2024, at 11:59 PM E</w:t>
        </w:r>
        <w:r w:rsidR="001613C6" w:rsidRPr="00462EC9">
          <w:rPr>
            <w:rStyle w:val="Hyperlink"/>
            <w:rFonts w:ascii="Century Gothic" w:hAnsi="Century Gothic"/>
            <w:color w:val="auto"/>
          </w:rPr>
          <w:t>S</w:t>
        </w:r>
        <w:r w:rsidR="009E70F7" w:rsidRPr="00462EC9">
          <w:rPr>
            <w:rStyle w:val="Hyperlink"/>
            <w:rFonts w:ascii="Century Gothic" w:hAnsi="Century Gothic"/>
            <w:color w:val="auto"/>
          </w:rPr>
          <w:t>T</w:t>
        </w:r>
        <w:r w:rsidR="006F194E" w:rsidRPr="00462EC9">
          <w:rPr>
            <w:rStyle w:val="Hyperlink"/>
            <w:rFonts w:ascii="Century Gothic" w:hAnsi="Century Gothic"/>
            <w:color w:val="auto"/>
          </w:rPr>
          <w:t xml:space="preserve"> </w:t>
        </w:r>
      </w:hyperlink>
    </w:p>
    <w:p w14:paraId="27538358" w14:textId="77777777" w:rsidR="00462EC9" w:rsidRPr="00462EC9" w:rsidRDefault="00462EC9" w:rsidP="008B0F30">
      <w:pPr>
        <w:pStyle w:val="NormalWeb"/>
        <w:spacing w:before="240" w:beforeAutospacing="0"/>
        <w:ind w:left="720"/>
        <w:rPr>
          <w:rFonts w:ascii="Century Gothic" w:hAnsi="Century Gothic"/>
        </w:rPr>
      </w:pPr>
    </w:p>
    <w:p w14:paraId="0280EB76" w14:textId="387D1CF0" w:rsidR="00E95CAE" w:rsidRPr="00462EC9" w:rsidRDefault="00000000" w:rsidP="008B0F30">
      <w:pPr>
        <w:spacing w:before="240"/>
        <w:rPr>
          <w:rFonts w:ascii="Century Gothic" w:hAnsi="Century Gothic"/>
          <w:sz w:val="24"/>
          <w:szCs w:val="24"/>
        </w:rPr>
      </w:pPr>
      <w:hyperlink r:id="rId36" w:history="1">
        <w:r w:rsidR="007D5EE0" w:rsidRPr="00462EC9">
          <w:rPr>
            <w:rStyle w:val="Hyperlink"/>
            <w:rFonts w:ascii="Century Gothic" w:hAnsi="Century Gothic"/>
            <w:sz w:val="24"/>
            <w:szCs w:val="24"/>
          </w:rPr>
          <w:t>L</w:t>
        </w:r>
        <w:r w:rsidR="001613C6" w:rsidRPr="00462EC9">
          <w:rPr>
            <w:rStyle w:val="Hyperlink"/>
            <w:rFonts w:ascii="Century Gothic" w:hAnsi="Century Gothic"/>
            <w:sz w:val="24"/>
            <w:szCs w:val="24"/>
          </w:rPr>
          <w:t>ISTOS</w:t>
        </w:r>
        <w:r w:rsidR="007D5EE0" w:rsidRPr="00462EC9">
          <w:rPr>
            <w:rStyle w:val="Hyperlink"/>
            <w:rFonts w:ascii="Century Gothic" w:hAnsi="Century Gothic"/>
            <w:sz w:val="24"/>
            <w:szCs w:val="24"/>
          </w:rPr>
          <w:t xml:space="preserve"> </w:t>
        </w:r>
        <w:r w:rsidR="00362532" w:rsidRPr="00462EC9">
          <w:rPr>
            <w:rStyle w:val="Hyperlink"/>
            <w:rFonts w:ascii="Century Gothic" w:hAnsi="Century Gothic"/>
            <w:sz w:val="24"/>
            <w:szCs w:val="24"/>
          </w:rPr>
          <w:t>California’s</w:t>
        </w:r>
        <w:r w:rsidR="007D5EE0" w:rsidRPr="00462EC9">
          <w:rPr>
            <w:rStyle w:val="Hyperlink"/>
            <w:rFonts w:ascii="Century Gothic" w:hAnsi="Century Gothic"/>
            <w:sz w:val="24"/>
            <w:szCs w:val="24"/>
          </w:rPr>
          <w:t xml:space="preserve"> Disaster Ready Guide </w:t>
        </w:r>
      </w:hyperlink>
    </w:p>
    <w:p w14:paraId="7B87914F" w14:textId="76BA9B77" w:rsidR="00653051" w:rsidRPr="00462EC9" w:rsidRDefault="001613C6" w:rsidP="008F3717">
      <w:pPr>
        <w:jc w:val="both"/>
        <w:rPr>
          <w:rFonts w:ascii="Century Gothic" w:hAnsi="Century Gothic"/>
          <w:sz w:val="24"/>
          <w:szCs w:val="24"/>
        </w:rPr>
      </w:pPr>
      <w:r w:rsidRPr="00462EC9">
        <w:rPr>
          <w:rFonts w:ascii="Century Gothic" w:hAnsi="Century Gothic"/>
          <w:sz w:val="24"/>
          <w:szCs w:val="24"/>
        </w:rPr>
        <w:t xml:space="preserve">LISTOS has recently updated their </w:t>
      </w:r>
      <w:r w:rsidR="007D5EE0" w:rsidRPr="00462EC9">
        <w:rPr>
          <w:rFonts w:ascii="Century Gothic" w:hAnsi="Century Gothic"/>
          <w:sz w:val="24"/>
          <w:szCs w:val="24"/>
        </w:rPr>
        <w:t xml:space="preserve"> Disaster Ready Guide</w:t>
      </w:r>
      <w:r w:rsidRPr="00462EC9">
        <w:rPr>
          <w:rFonts w:ascii="Century Gothic" w:hAnsi="Century Gothic"/>
          <w:sz w:val="24"/>
          <w:szCs w:val="24"/>
        </w:rPr>
        <w:t xml:space="preserve">, which </w:t>
      </w:r>
      <w:r w:rsidR="007D5EE0" w:rsidRPr="00462EC9">
        <w:rPr>
          <w:rFonts w:ascii="Century Gothic" w:hAnsi="Century Gothic"/>
          <w:sz w:val="24"/>
          <w:szCs w:val="24"/>
        </w:rPr>
        <w:t>contains simple, easily digestible information for how community members can best prepare themselves</w:t>
      </w:r>
      <w:r w:rsidR="00CE5D8A" w:rsidRPr="00462EC9">
        <w:rPr>
          <w:rFonts w:ascii="Century Gothic" w:hAnsi="Century Gothic"/>
          <w:sz w:val="24"/>
          <w:szCs w:val="24"/>
        </w:rPr>
        <w:t xml:space="preserve">, friends, and </w:t>
      </w:r>
      <w:r w:rsidR="007D5EE0" w:rsidRPr="00462EC9">
        <w:rPr>
          <w:rFonts w:ascii="Century Gothic" w:hAnsi="Century Gothic"/>
          <w:sz w:val="24"/>
          <w:szCs w:val="24"/>
        </w:rPr>
        <w:t xml:space="preserve">their families for </w:t>
      </w:r>
      <w:r w:rsidR="008F3717" w:rsidRPr="00462EC9">
        <w:rPr>
          <w:rFonts w:ascii="Century Gothic" w:hAnsi="Century Gothic"/>
          <w:sz w:val="24"/>
          <w:szCs w:val="24"/>
        </w:rPr>
        <w:t xml:space="preserve">any potential </w:t>
      </w:r>
      <w:r w:rsidR="007D5EE0" w:rsidRPr="00462EC9">
        <w:rPr>
          <w:rFonts w:ascii="Century Gothic" w:hAnsi="Century Gothic"/>
          <w:sz w:val="24"/>
          <w:szCs w:val="24"/>
        </w:rPr>
        <w:t>emergencies</w:t>
      </w:r>
      <w:r w:rsidR="00CE5D8A" w:rsidRPr="00462EC9">
        <w:rPr>
          <w:rFonts w:ascii="Century Gothic" w:hAnsi="Century Gothic"/>
          <w:sz w:val="24"/>
          <w:szCs w:val="24"/>
        </w:rPr>
        <w:t xml:space="preserve"> or </w:t>
      </w:r>
      <w:r w:rsidR="00A7367E" w:rsidRPr="00462EC9">
        <w:rPr>
          <w:rFonts w:ascii="Century Gothic" w:hAnsi="Century Gothic"/>
          <w:sz w:val="24"/>
          <w:szCs w:val="24"/>
        </w:rPr>
        <w:t xml:space="preserve">any future </w:t>
      </w:r>
      <w:r w:rsidR="00CE5D8A" w:rsidRPr="00462EC9">
        <w:rPr>
          <w:rFonts w:ascii="Century Gothic" w:hAnsi="Century Gothic"/>
          <w:sz w:val="24"/>
          <w:szCs w:val="24"/>
        </w:rPr>
        <w:t>incidents</w:t>
      </w:r>
      <w:r w:rsidR="007D5EE0" w:rsidRPr="00462EC9">
        <w:rPr>
          <w:rFonts w:ascii="Century Gothic" w:hAnsi="Century Gothic"/>
          <w:sz w:val="24"/>
          <w:szCs w:val="24"/>
        </w:rPr>
        <w:t>.</w:t>
      </w:r>
      <w:r w:rsidRPr="00462EC9">
        <w:rPr>
          <w:rFonts w:ascii="Century Gothic" w:hAnsi="Century Gothic"/>
          <w:sz w:val="24"/>
          <w:szCs w:val="24"/>
        </w:rPr>
        <w:t xml:space="preserve"> The Guide is available in over 15 different languages, which are accessible online at the link above. </w:t>
      </w:r>
    </w:p>
    <w:p w14:paraId="33B459E7" w14:textId="77777777" w:rsidR="00C20BD2" w:rsidRPr="00462EC9" w:rsidRDefault="00C20BD2" w:rsidP="008F3717">
      <w:pPr>
        <w:jc w:val="both"/>
        <w:rPr>
          <w:rFonts w:ascii="Century Gothic" w:hAnsi="Century Gothic"/>
          <w:sz w:val="24"/>
          <w:szCs w:val="24"/>
        </w:rPr>
      </w:pPr>
    </w:p>
    <w:p w14:paraId="6ED86904" w14:textId="3F6FB940" w:rsidR="008E3F54" w:rsidRPr="00462EC9" w:rsidRDefault="00000000" w:rsidP="00250865">
      <w:pPr>
        <w:jc w:val="both"/>
        <w:rPr>
          <w:rFonts w:ascii="Century Gothic" w:hAnsi="Century Gothic"/>
          <w:sz w:val="24"/>
          <w:szCs w:val="24"/>
        </w:rPr>
      </w:pPr>
      <w:hyperlink r:id="rId37" w:history="1">
        <w:r w:rsidR="008E3F54" w:rsidRPr="00462EC9">
          <w:rPr>
            <w:rStyle w:val="Hyperlink"/>
            <w:rFonts w:ascii="Century Gothic" w:hAnsi="Century Gothic"/>
            <w:sz w:val="24"/>
            <w:szCs w:val="24"/>
          </w:rPr>
          <w:t>U.S. Environmental Protection Agency, Climate Resilience and Adaptation Funding Toolbox</w:t>
        </w:r>
      </w:hyperlink>
    </w:p>
    <w:p w14:paraId="7333CB2C" w14:textId="7ECD80D2" w:rsidR="0013617E" w:rsidRPr="00462EC9" w:rsidRDefault="008E3F54" w:rsidP="0013617E">
      <w:pPr>
        <w:jc w:val="both"/>
        <w:rPr>
          <w:rFonts w:ascii="Century Gothic" w:hAnsi="Century Gothic"/>
          <w:sz w:val="24"/>
          <w:szCs w:val="24"/>
        </w:rPr>
      </w:pPr>
      <w:r w:rsidRPr="00462EC9">
        <w:rPr>
          <w:rFonts w:ascii="Century Gothic" w:hAnsi="Century Gothic"/>
          <w:sz w:val="24"/>
          <w:szCs w:val="24"/>
        </w:rPr>
        <w:t>The Climate Resilience and Adaptation Funding Toolbox</w:t>
      </w:r>
      <w:r w:rsidR="00E66BAB" w:rsidRPr="00462EC9">
        <w:rPr>
          <w:rFonts w:ascii="Century Gothic" w:hAnsi="Century Gothic"/>
          <w:sz w:val="24"/>
          <w:szCs w:val="24"/>
        </w:rPr>
        <w:t xml:space="preserve"> (CRAFT)</w:t>
      </w:r>
      <w:r w:rsidRPr="00462EC9">
        <w:rPr>
          <w:rFonts w:ascii="Century Gothic" w:hAnsi="Century Gothic"/>
          <w:sz w:val="24"/>
          <w:szCs w:val="24"/>
        </w:rPr>
        <w:t xml:space="preserve"> was created to support technical assistance providers working with states, tribes, communities, nongovernmental organizations, academia, businesses, and others looking to make sure their investments are resilient to climate-related impacts. The CRAFT can help potential funding applicants learn about and secure financial support for climate-smart investments, particularly communities that are just getting started and have historically been unable to access federal dollars.</w:t>
      </w:r>
    </w:p>
    <w:p w14:paraId="07B3E45C" w14:textId="3171D7AF" w:rsidR="008B1861" w:rsidRPr="00462EC9" w:rsidRDefault="0013617E" w:rsidP="0013617E">
      <w:pPr>
        <w:jc w:val="both"/>
        <w:rPr>
          <w:rFonts w:ascii="Century Gothic" w:hAnsi="Century Gothic"/>
          <w:sz w:val="24"/>
          <w:szCs w:val="24"/>
        </w:rPr>
      </w:pPr>
      <w:r w:rsidRPr="00462EC9">
        <w:rPr>
          <w:rFonts w:ascii="Century Gothic" w:hAnsi="Century Gothic"/>
          <w:sz w:val="24"/>
          <w:szCs w:val="24"/>
        </w:rPr>
        <w:br/>
      </w:r>
      <w:hyperlink r:id="rId38" w:history="1">
        <w:r w:rsidR="008B1861" w:rsidRPr="00462EC9">
          <w:rPr>
            <w:rStyle w:val="Hyperlink"/>
            <w:rFonts w:ascii="Century Gothic" w:hAnsi="Century Gothic"/>
            <w:sz w:val="24"/>
            <w:szCs w:val="24"/>
            <w:shd w:val="clear" w:color="auto" w:fill="FFFFFF"/>
          </w:rPr>
          <w:t xml:space="preserve">U.S. Environmental Protection Agency, Regional Resiliency Toolkit </w:t>
        </w:r>
      </w:hyperlink>
    </w:p>
    <w:p w14:paraId="0332A8B3" w14:textId="39DBC6CF" w:rsidR="0006015D" w:rsidRPr="00462EC9" w:rsidRDefault="008B1861" w:rsidP="008B1861">
      <w:pPr>
        <w:jc w:val="both"/>
        <w:rPr>
          <w:rFonts w:ascii="Century Gothic" w:hAnsi="Century Gothic"/>
          <w:color w:val="1B1B1B"/>
          <w:sz w:val="24"/>
          <w:szCs w:val="24"/>
          <w:shd w:val="clear" w:color="auto" w:fill="FFFFFF"/>
        </w:rPr>
      </w:pPr>
      <w:r w:rsidRPr="00462EC9">
        <w:rPr>
          <w:rFonts w:ascii="Century Gothic" w:hAnsi="Century Gothic"/>
          <w:color w:val="1B1B1B"/>
          <w:sz w:val="24"/>
          <w:szCs w:val="24"/>
          <w:shd w:val="clear" w:color="auto" w:fill="FFFFFF"/>
        </w:rPr>
        <w:t>The Regional Resilience Toolkit promotes an inclusive, coordinated approach to disaster planning. It is designed to help multiple jurisdictions and levels of government, as well as non-governmental partners and local groups, collaborate on regional-scale actions. It can be used in any region or community no matter the size, location, capacity, or hazard</w:t>
      </w:r>
      <w:r w:rsidR="009E1EA9" w:rsidRPr="00462EC9">
        <w:rPr>
          <w:rFonts w:ascii="Century Gothic" w:hAnsi="Century Gothic"/>
          <w:color w:val="1B1B1B"/>
          <w:sz w:val="24"/>
          <w:szCs w:val="24"/>
          <w:shd w:val="clear" w:color="auto" w:fill="FFFFFF"/>
        </w:rPr>
        <w:t xml:space="preserve">. </w:t>
      </w:r>
    </w:p>
    <w:p w14:paraId="07819600" w14:textId="77777777" w:rsidR="00F21943" w:rsidRPr="00462EC9" w:rsidRDefault="00F21943" w:rsidP="00E92447">
      <w:pPr>
        <w:spacing w:after="0"/>
        <w:jc w:val="both"/>
        <w:rPr>
          <w:rFonts w:ascii="Century Gothic" w:hAnsi="Century Gothic"/>
          <w:color w:val="1B1B1B"/>
          <w:sz w:val="24"/>
          <w:szCs w:val="24"/>
          <w:shd w:val="clear" w:color="auto" w:fill="FFFFFF"/>
        </w:rPr>
      </w:pPr>
    </w:p>
    <w:p w14:paraId="5873699E" w14:textId="1C34EB1A" w:rsidR="009E1EA9" w:rsidRPr="00462EC9" w:rsidRDefault="00000000" w:rsidP="009E1EA9">
      <w:pPr>
        <w:jc w:val="both"/>
        <w:rPr>
          <w:rFonts w:ascii="Century Gothic" w:hAnsi="Century Gothic"/>
          <w:color w:val="1B1B1B"/>
          <w:sz w:val="24"/>
          <w:szCs w:val="24"/>
          <w:shd w:val="clear" w:color="auto" w:fill="FFFFFF"/>
        </w:rPr>
      </w:pPr>
      <w:hyperlink r:id="rId39" w:history="1">
        <w:r w:rsidR="009E1EA9" w:rsidRPr="00462EC9">
          <w:rPr>
            <w:rStyle w:val="Hyperlink"/>
            <w:rFonts w:ascii="Century Gothic" w:hAnsi="Century Gothic"/>
            <w:sz w:val="24"/>
            <w:szCs w:val="24"/>
            <w:shd w:val="clear" w:color="auto" w:fill="FFFFFF"/>
          </w:rPr>
          <w:t>U.S. Environmental Protection Agency, Smart Growth Self-Assessment for Rural Communities</w:t>
        </w:r>
      </w:hyperlink>
    </w:p>
    <w:p w14:paraId="4D41D435" w14:textId="75D2655E" w:rsidR="0006015D" w:rsidRPr="00462EC9" w:rsidRDefault="009E1EA9" w:rsidP="003C7C1C">
      <w:pPr>
        <w:jc w:val="both"/>
        <w:rPr>
          <w:rFonts w:ascii="Century Gothic" w:hAnsi="Century Gothic"/>
          <w:color w:val="1B1B1B"/>
          <w:sz w:val="24"/>
          <w:szCs w:val="24"/>
          <w:shd w:val="clear" w:color="auto" w:fill="FFFFFF"/>
        </w:rPr>
      </w:pPr>
      <w:r w:rsidRPr="00462EC9">
        <w:rPr>
          <w:rFonts w:ascii="Century Gothic" w:hAnsi="Century Gothic"/>
          <w:color w:val="1B1B1B"/>
          <w:sz w:val="24"/>
          <w:szCs w:val="24"/>
          <w:shd w:val="clear" w:color="auto" w:fill="FFFFFF"/>
        </w:rPr>
        <w:t>The Smart Growth Self-Assessment for Rural Communities is a compilation of strategies, organized by 11 common "goal areas," that villages, towns, and small cities can use to evaluate their existing policies to create healthy, environmentally resilient, and economically robust places. This tool provides a checklist of smart growth strategies, which are organized into topical "goal areas," that are relevant to a variety of small towns and rural communities.</w:t>
      </w:r>
    </w:p>
    <w:p w14:paraId="02BB9F8A" w14:textId="77777777" w:rsidR="001613C6" w:rsidRPr="00462EC9" w:rsidRDefault="001613C6" w:rsidP="00E92447">
      <w:pPr>
        <w:spacing w:after="0"/>
        <w:jc w:val="both"/>
        <w:rPr>
          <w:rFonts w:ascii="Century Gothic" w:hAnsi="Century Gothic"/>
          <w:color w:val="1B1B1B"/>
          <w:sz w:val="24"/>
          <w:szCs w:val="24"/>
          <w:shd w:val="clear" w:color="auto" w:fill="FFFFFF"/>
        </w:rPr>
      </w:pPr>
    </w:p>
    <w:p w14:paraId="52FF4E15" w14:textId="640D31E5" w:rsidR="00E95CAE" w:rsidRPr="00462EC9" w:rsidRDefault="00000000">
      <w:pPr>
        <w:rPr>
          <w:rFonts w:ascii="Century Gothic" w:hAnsi="Century Gothic"/>
          <w:sz w:val="24"/>
          <w:szCs w:val="24"/>
        </w:rPr>
      </w:pPr>
      <w:hyperlink r:id="rId40" w:history="1">
        <w:r w:rsidR="000F00A9" w:rsidRPr="00462EC9">
          <w:rPr>
            <w:rStyle w:val="Hyperlink"/>
            <w:rFonts w:ascii="Century Gothic" w:hAnsi="Century Gothic"/>
            <w:sz w:val="24"/>
            <w:szCs w:val="24"/>
          </w:rPr>
          <w:t>Minority Business Development Agency</w:t>
        </w:r>
        <w:r w:rsidR="003A1133" w:rsidRPr="00462EC9">
          <w:rPr>
            <w:rStyle w:val="Hyperlink"/>
            <w:rFonts w:ascii="Century Gothic" w:hAnsi="Century Gothic"/>
            <w:sz w:val="24"/>
            <w:szCs w:val="24"/>
          </w:rPr>
          <w:t>: Business Resource Centers</w:t>
        </w:r>
      </w:hyperlink>
    </w:p>
    <w:p w14:paraId="2FD6E4EA" w14:textId="285DA50B" w:rsidR="000F00A9" w:rsidRPr="00462EC9" w:rsidRDefault="000D3B20" w:rsidP="000D3B20">
      <w:pPr>
        <w:jc w:val="both"/>
        <w:rPr>
          <w:rFonts w:ascii="Century Gothic" w:hAnsi="Century Gothic"/>
          <w:sz w:val="24"/>
          <w:szCs w:val="24"/>
        </w:rPr>
      </w:pPr>
      <w:r w:rsidRPr="00462EC9">
        <w:rPr>
          <w:rFonts w:ascii="Century Gothic" w:hAnsi="Century Gothic"/>
          <w:sz w:val="24"/>
          <w:szCs w:val="24"/>
        </w:rPr>
        <w:t>The Minority Business Development Agency (MBDA), a bureau of the U.S. Department of Commerce, provide</w:t>
      </w:r>
      <w:r w:rsidR="00C20BD2" w:rsidRPr="00462EC9">
        <w:rPr>
          <w:rFonts w:ascii="Century Gothic" w:hAnsi="Century Gothic"/>
          <w:sz w:val="24"/>
          <w:szCs w:val="24"/>
        </w:rPr>
        <w:t xml:space="preserve">s </w:t>
      </w:r>
      <w:r w:rsidRPr="00462EC9">
        <w:rPr>
          <w:rFonts w:ascii="Century Gothic" w:hAnsi="Century Gothic"/>
          <w:sz w:val="24"/>
          <w:szCs w:val="24"/>
        </w:rPr>
        <w:t>assistance to support innovative projects seeking to promote and ensure the growth of minority enterprises. The MBDA Business Center Program provides technical assistance and business development services to minority business enterprises for</w:t>
      </w:r>
      <w:r w:rsidR="003A1133" w:rsidRPr="00462EC9">
        <w:rPr>
          <w:rFonts w:ascii="Century Gothic" w:hAnsi="Century Gothic"/>
          <w:sz w:val="24"/>
          <w:szCs w:val="24"/>
        </w:rPr>
        <w:t xml:space="preserve"> </w:t>
      </w:r>
      <w:r w:rsidR="00EB4721" w:rsidRPr="00462EC9">
        <w:rPr>
          <w:rFonts w:ascii="Century Gothic" w:hAnsi="Century Gothic"/>
          <w:sz w:val="24"/>
          <w:szCs w:val="24"/>
        </w:rPr>
        <w:t>minority business owner</w:t>
      </w:r>
      <w:r w:rsidRPr="00462EC9">
        <w:rPr>
          <w:rFonts w:ascii="Century Gothic" w:hAnsi="Century Gothic"/>
          <w:sz w:val="24"/>
          <w:szCs w:val="24"/>
        </w:rPr>
        <w:t>s</w:t>
      </w:r>
      <w:r w:rsidR="00EB4721" w:rsidRPr="00462EC9">
        <w:rPr>
          <w:rFonts w:ascii="Century Gothic" w:hAnsi="Century Gothic"/>
          <w:sz w:val="24"/>
          <w:szCs w:val="24"/>
        </w:rPr>
        <w:t xml:space="preserve"> </w:t>
      </w:r>
      <w:r w:rsidR="003A1133" w:rsidRPr="00462EC9">
        <w:rPr>
          <w:rFonts w:ascii="Century Gothic" w:hAnsi="Century Gothic"/>
          <w:sz w:val="24"/>
          <w:szCs w:val="24"/>
        </w:rPr>
        <w:t xml:space="preserve">looking to expand into new markets, build capacity, and scale operations. </w:t>
      </w:r>
    </w:p>
    <w:p w14:paraId="4A25E2A8" w14:textId="2E83541B" w:rsidR="00C20BD2" w:rsidRPr="00462EC9" w:rsidRDefault="00190786" w:rsidP="00C20BD2">
      <w:pPr>
        <w:spacing w:line="240" w:lineRule="auto"/>
        <w:rPr>
          <w:rStyle w:val="Hyperlink"/>
          <w:rFonts w:ascii="Century Gothic" w:hAnsi="Century Gothic"/>
          <w:sz w:val="24"/>
          <w:szCs w:val="24"/>
        </w:rPr>
      </w:pPr>
      <w:r w:rsidRPr="00462EC9">
        <w:rPr>
          <w:rFonts w:ascii="Century Gothic" w:hAnsi="Century Gothic"/>
          <w:sz w:val="24"/>
          <w:szCs w:val="24"/>
        </w:rPr>
        <w:br/>
      </w:r>
      <w:hyperlink r:id="rId41" w:history="1">
        <w:r w:rsidRPr="00462EC9">
          <w:rPr>
            <w:rStyle w:val="Hyperlink"/>
            <w:rFonts w:ascii="Century Gothic" w:hAnsi="Century Gothic"/>
            <w:sz w:val="24"/>
            <w:szCs w:val="24"/>
          </w:rPr>
          <w:t>National Oceanic and Atmospheric Administration, Sea Level Rise Viewer</w:t>
        </w:r>
      </w:hyperlink>
    </w:p>
    <w:p w14:paraId="50FD267B" w14:textId="658224B4" w:rsidR="00462EC9" w:rsidRPr="00462EC9" w:rsidRDefault="00C20BD2" w:rsidP="00462EC9">
      <w:pPr>
        <w:spacing w:after="0" w:line="240" w:lineRule="auto"/>
        <w:rPr>
          <w:rFonts w:ascii="Century Gothic" w:hAnsi="Century Gothic"/>
          <w:b/>
          <w:bCs/>
          <w:color w:val="FFFFFF" w:themeColor="background1"/>
          <w:sz w:val="24"/>
          <w:szCs w:val="24"/>
        </w:rPr>
      </w:pPr>
      <w:r w:rsidRPr="00462EC9">
        <w:rPr>
          <w:rFonts w:ascii="Century Gothic" w:hAnsi="Century Gothic" w:cs="Segoe UI"/>
          <w:sz w:val="24"/>
          <w:szCs w:val="24"/>
          <w:shd w:val="clear" w:color="auto" w:fill="FFFFFF"/>
        </w:rPr>
        <w:t xml:space="preserve">This tool allows users to visualize community-level impacts from coastal flooding or SLR. Photo simulations of how future flooding might impact local landmarks are also provided, as well as </w:t>
      </w:r>
      <w:r w:rsidRPr="00462EC9">
        <w:rPr>
          <w:rFonts w:ascii="Century Gothic" w:hAnsi="Century Gothic" w:cs="Segoe UI"/>
          <w:sz w:val="24"/>
          <w:szCs w:val="24"/>
        </w:rPr>
        <w:t>data related to water depth, connectivity, flooding, socio-economic vulnerability, wetland loss and migration, and mapping.</w:t>
      </w:r>
      <w:r w:rsidRPr="00462EC9">
        <w:rPr>
          <w:rFonts w:ascii="Century Gothic" w:hAnsi="Century Gothic"/>
          <w:b/>
          <w:bCs/>
          <w:sz w:val="24"/>
          <w:szCs w:val="24"/>
        </w:rPr>
        <w:t xml:space="preserve"> </w:t>
      </w:r>
    </w:p>
    <w:p w14:paraId="1FE17C4A" w14:textId="6104EBE7" w:rsidR="00462EC9" w:rsidRDefault="00462EC9" w:rsidP="00E92447">
      <w:pPr>
        <w:spacing w:line="240" w:lineRule="auto"/>
        <w:rPr>
          <w:rFonts w:ascii="Century Gothic" w:hAnsi="Century Gothic"/>
          <w:b/>
          <w:bCs/>
          <w:color w:val="FFFFFF" w:themeColor="background1"/>
          <w:sz w:val="24"/>
          <w:szCs w:val="24"/>
        </w:rPr>
      </w:pPr>
    </w:p>
    <w:p w14:paraId="33BF0327" w14:textId="77777777" w:rsidR="008B0F30" w:rsidRPr="00462EC9" w:rsidRDefault="008B0F30" w:rsidP="00E92447">
      <w:pPr>
        <w:spacing w:line="240" w:lineRule="auto"/>
        <w:rPr>
          <w:rFonts w:ascii="Century Gothic" w:hAnsi="Century Gothic"/>
          <w:b/>
          <w:bCs/>
          <w:color w:val="FFFFFF" w:themeColor="background1"/>
          <w:sz w:val="24"/>
          <w:szCs w:val="24"/>
        </w:rPr>
      </w:pPr>
    </w:p>
    <w:p w14:paraId="7939421E" w14:textId="1791B486" w:rsidR="000E53AD" w:rsidRPr="008B0F30" w:rsidRDefault="000E53AD" w:rsidP="00462EC9">
      <w:pPr>
        <w:spacing w:line="240" w:lineRule="auto"/>
        <w:jc w:val="both"/>
        <w:rPr>
          <w:rFonts w:ascii="Century Gothic" w:hAnsi="Century Gothic"/>
          <w:b/>
          <w:bCs/>
          <w:i/>
          <w:iCs/>
          <w:color w:val="FFFFFF" w:themeColor="background1"/>
          <w:sz w:val="24"/>
          <w:szCs w:val="24"/>
        </w:rPr>
      </w:pPr>
      <w:r w:rsidRPr="008B0F30">
        <w:rPr>
          <w:rFonts w:ascii="Century Gothic" w:hAnsi="Century Gothic"/>
          <w:i/>
          <w:iCs/>
          <w:sz w:val="24"/>
          <w:szCs w:val="24"/>
        </w:rPr>
        <w:t xml:space="preserve">To be added to </w:t>
      </w:r>
      <w:r w:rsidR="008B0F30">
        <w:rPr>
          <w:rFonts w:ascii="Century Gothic" w:hAnsi="Century Gothic"/>
          <w:i/>
          <w:iCs/>
          <w:sz w:val="24"/>
          <w:szCs w:val="24"/>
        </w:rPr>
        <w:t xml:space="preserve">either the </w:t>
      </w:r>
      <w:r w:rsidRPr="008B0F30">
        <w:rPr>
          <w:rFonts w:ascii="Century Gothic" w:hAnsi="Century Gothic"/>
          <w:i/>
          <w:iCs/>
          <w:sz w:val="24"/>
          <w:szCs w:val="24"/>
        </w:rPr>
        <w:t xml:space="preserve">Community Planning </w:t>
      </w:r>
      <w:r w:rsidR="008571DF" w:rsidRPr="008B0F30">
        <w:rPr>
          <w:rFonts w:ascii="Century Gothic" w:hAnsi="Century Gothic"/>
          <w:i/>
          <w:iCs/>
          <w:sz w:val="24"/>
          <w:szCs w:val="24"/>
        </w:rPr>
        <w:t>and</w:t>
      </w:r>
      <w:r w:rsidRPr="008B0F30">
        <w:rPr>
          <w:rFonts w:ascii="Century Gothic" w:hAnsi="Century Gothic"/>
          <w:i/>
          <w:iCs/>
          <w:sz w:val="24"/>
          <w:szCs w:val="24"/>
        </w:rPr>
        <w:t xml:space="preserve"> Capacity Building </w:t>
      </w:r>
      <w:r w:rsidR="008571DF" w:rsidRPr="008B0F30">
        <w:rPr>
          <w:rFonts w:ascii="Century Gothic" w:hAnsi="Century Gothic"/>
          <w:i/>
          <w:iCs/>
          <w:sz w:val="24"/>
          <w:szCs w:val="24"/>
        </w:rPr>
        <w:t xml:space="preserve">(CPCB) </w:t>
      </w:r>
      <w:r w:rsidR="008B0F30">
        <w:rPr>
          <w:rFonts w:ascii="Century Gothic" w:hAnsi="Century Gothic"/>
          <w:i/>
          <w:iCs/>
          <w:sz w:val="24"/>
          <w:szCs w:val="24"/>
        </w:rPr>
        <w:t>or the</w:t>
      </w:r>
      <w:r w:rsidR="008571DF" w:rsidRPr="008B0F30">
        <w:rPr>
          <w:rFonts w:ascii="Century Gothic" w:hAnsi="Century Gothic"/>
          <w:i/>
          <w:iCs/>
          <w:sz w:val="24"/>
          <w:szCs w:val="24"/>
        </w:rPr>
        <w:t xml:space="preserve"> Economic (ECON)</w:t>
      </w:r>
      <w:r w:rsidR="00B47446" w:rsidRPr="008B0F30">
        <w:rPr>
          <w:rFonts w:ascii="Century Gothic" w:hAnsi="Century Gothic"/>
          <w:i/>
          <w:iCs/>
          <w:sz w:val="24"/>
          <w:szCs w:val="24"/>
        </w:rPr>
        <w:t xml:space="preserve"> </w:t>
      </w:r>
      <w:r w:rsidR="001613C6" w:rsidRPr="008B0F30">
        <w:rPr>
          <w:rFonts w:ascii="Century Gothic" w:hAnsi="Century Gothic"/>
          <w:i/>
          <w:iCs/>
          <w:sz w:val="24"/>
          <w:szCs w:val="24"/>
        </w:rPr>
        <w:t xml:space="preserve">bulletin </w:t>
      </w:r>
      <w:r w:rsidR="00B47446" w:rsidRPr="008B0F30">
        <w:rPr>
          <w:rFonts w:ascii="Century Gothic" w:hAnsi="Century Gothic"/>
          <w:i/>
          <w:iCs/>
          <w:sz w:val="24"/>
          <w:szCs w:val="24"/>
        </w:rPr>
        <w:t xml:space="preserve">distribution list, </w:t>
      </w:r>
      <w:r w:rsidR="001613C6" w:rsidRPr="008B0F30">
        <w:rPr>
          <w:rFonts w:ascii="Century Gothic" w:hAnsi="Century Gothic"/>
          <w:i/>
          <w:iCs/>
          <w:sz w:val="24"/>
          <w:szCs w:val="24"/>
        </w:rPr>
        <w:t xml:space="preserve">please </w:t>
      </w:r>
      <w:r w:rsidR="00B47446" w:rsidRPr="008B0F30">
        <w:rPr>
          <w:rFonts w:ascii="Century Gothic" w:hAnsi="Century Gothic"/>
          <w:i/>
          <w:iCs/>
          <w:sz w:val="24"/>
          <w:szCs w:val="24"/>
        </w:rPr>
        <w:t xml:space="preserve">send a request to </w:t>
      </w:r>
      <w:hyperlink r:id="rId42" w:history="1">
        <w:r w:rsidR="00B47446" w:rsidRPr="008B0F30">
          <w:rPr>
            <w:rStyle w:val="Hyperlink"/>
            <w:rFonts w:ascii="Century Gothic" w:hAnsi="Century Gothic"/>
            <w:i/>
            <w:iCs/>
            <w:sz w:val="24"/>
            <w:szCs w:val="24"/>
          </w:rPr>
          <w:t>LongTermRecovery@caloes.ca.gov</w:t>
        </w:r>
      </w:hyperlink>
      <w:r w:rsidR="00B47446" w:rsidRPr="008B0F30">
        <w:rPr>
          <w:rFonts w:ascii="Century Gothic" w:hAnsi="Century Gothic"/>
          <w:i/>
          <w:iCs/>
          <w:sz w:val="24"/>
          <w:szCs w:val="24"/>
        </w:rPr>
        <w:t xml:space="preserve">. An accessible version of the CPCB/ECON </w:t>
      </w:r>
      <w:r w:rsidR="00AB4A11" w:rsidRPr="008B0F30">
        <w:rPr>
          <w:rFonts w:ascii="Century Gothic" w:hAnsi="Century Gothic"/>
          <w:i/>
          <w:iCs/>
          <w:sz w:val="24"/>
          <w:szCs w:val="24"/>
        </w:rPr>
        <w:t xml:space="preserve">Bulletin will be </w:t>
      </w:r>
      <w:r w:rsidR="00A723E2" w:rsidRPr="008B0F30">
        <w:rPr>
          <w:rFonts w:ascii="Century Gothic" w:hAnsi="Century Gothic"/>
          <w:i/>
          <w:iCs/>
          <w:sz w:val="24"/>
          <w:szCs w:val="24"/>
        </w:rPr>
        <w:t xml:space="preserve">posted to </w:t>
      </w:r>
      <w:hyperlink r:id="rId43" w:history="1">
        <w:r w:rsidR="00A723E2" w:rsidRPr="008B0F30">
          <w:rPr>
            <w:rStyle w:val="Hyperlink"/>
            <w:rFonts w:ascii="Century Gothic" w:hAnsi="Century Gothic"/>
            <w:i/>
            <w:iCs/>
            <w:sz w:val="24"/>
            <w:szCs w:val="24"/>
          </w:rPr>
          <w:t>www.CalOES.ca.gov/RSF</w:t>
        </w:r>
      </w:hyperlink>
      <w:r w:rsidR="00A723E2" w:rsidRPr="008B0F30">
        <w:rPr>
          <w:rFonts w:ascii="Century Gothic" w:hAnsi="Century Gothic"/>
          <w:i/>
          <w:iCs/>
          <w:sz w:val="24"/>
          <w:szCs w:val="24"/>
        </w:rPr>
        <w:t xml:space="preserve"> shortly after distribution</w:t>
      </w:r>
      <w:r w:rsidR="001613C6" w:rsidRPr="008B0F30">
        <w:rPr>
          <w:rFonts w:ascii="Century Gothic" w:hAnsi="Century Gothic"/>
          <w:i/>
          <w:iCs/>
          <w:sz w:val="24"/>
          <w:szCs w:val="24"/>
        </w:rPr>
        <w:t>.</w:t>
      </w:r>
    </w:p>
    <w:p w14:paraId="3B24B2C6" w14:textId="411A3BCC" w:rsidR="00E22CC0" w:rsidRDefault="00E22CC0"/>
    <w:sectPr w:rsidR="00E22CC0" w:rsidSect="001B20CE">
      <w:headerReference w:type="default" r:id="rId44"/>
      <w:footerReference w:type="default" r:id="rI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6812" w14:textId="77777777" w:rsidR="00740AD4" w:rsidRDefault="00740AD4" w:rsidP="00E95CAE">
      <w:pPr>
        <w:spacing w:after="0" w:line="240" w:lineRule="auto"/>
      </w:pPr>
      <w:r>
        <w:separator/>
      </w:r>
    </w:p>
  </w:endnote>
  <w:endnote w:type="continuationSeparator" w:id="0">
    <w:p w14:paraId="45CCE501" w14:textId="77777777" w:rsidR="00740AD4" w:rsidRDefault="00740AD4" w:rsidP="00E95CAE">
      <w:pPr>
        <w:spacing w:after="0" w:line="240" w:lineRule="auto"/>
      </w:pPr>
      <w:r>
        <w:continuationSeparator/>
      </w:r>
    </w:p>
  </w:endnote>
  <w:endnote w:type="continuationNotice" w:id="1">
    <w:p w14:paraId="4BF4DB98" w14:textId="77777777" w:rsidR="00740AD4" w:rsidRDefault="00740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81AD" w14:textId="1B79C466" w:rsidR="00E95CAE" w:rsidRDefault="00E95CAE" w:rsidP="00E95CAE">
    <w:pPr>
      <w:pStyle w:val="NormalWeb"/>
    </w:pPr>
  </w:p>
  <w:p w14:paraId="226B5B12" w14:textId="3F857361" w:rsidR="00E95CAE" w:rsidRDefault="00E95CAE">
    <w:pPr>
      <w:pStyle w:val="Footer"/>
    </w:pPr>
  </w:p>
  <w:p w14:paraId="3BF3A344" w14:textId="46DDB52D" w:rsidR="00E95CAE" w:rsidRDefault="00E95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BDDC" w14:textId="77777777" w:rsidR="00740AD4" w:rsidRDefault="00740AD4" w:rsidP="00E95CAE">
      <w:pPr>
        <w:spacing w:after="0" w:line="240" w:lineRule="auto"/>
      </w:pPr>
      <w:r>
        <w:separator/>
      </w:r>
    </w:p>
  </w:footnote>
  <w:footnote w:type="continuationSeparator" w:id="0">
    <w:p w14:paraId="12201A13" w14:textId="77777777" w:rsidR="00740AD4" w:rsidRDefault="00740AD4" w:rsidP="00E95CAE">
      <w:pPr>
        <w:spacing w:after="0" w:line="240" w:lineRule="auto"/>
      </w:pPr>
      <w:r>
        <w:continuationSeparator/>
      </w:r>
    </w:p>
  </w:footnote>
  <w:footnote w:type="continuationNotice" w:id="1">
    <w:p w14:paraId="13A1D8E5" w14:textId="77777777" w:rsidR="00740AD4" w:rsidRDefault="00740A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5A00" w14:textId="527D5F92" w:rsidR="00E95CAE" w:rsidRDefault="00E95CAE">
    <w:pPr>
      <w:pStyle w:val="Header"/>
    </w:pPr>
  </w:p>
  <w:p w14:paraId="2B6830D6" w14:textId="77777777" w:rsidR="00E95CAE" w:rsidRDefault="00E95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D28"/>
    <w:multiLevelType w:val="multilevel"/>
    <w:tmpl w:val="E08C0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13739"/>
    <w:multiLevelType w:val="hybridMultilevel"/>
    <w:tmpl w:val="A326835A"/>
    <w:lvl w:ilvl="0" w:tplc="0409000B">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0BD34761"/>
    <w:multiLevelType w:val="hybridMultilevel"/>
    <w:tmpl w:val="55A02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83FC3"/>
    <w:multiLevelType w:val="hybridMultilevel"/>
    <w:tmpl w:val="A6CC5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3623D"/>
    <w:multiLevelType w:val="hybridMultilevel"/>
    <w:tmpl w:val="E84404DA"/>
    <w:lvl w:ilvl="0" w:tplc="526C6CAE">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27F37"/>
    <w:multiLevelType w:val="hybridMultilevel"/>
    <w:tmpl w:val="B6821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B3E55"/>
    <w:multiLevelType w:val="hybridMultilevel"/>
    <w:tmpl w:val="2E609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835FE9"/>
    <w:multiLevelType w:val="hybridMultilevel"/>
    <w:tmpl w:val="7C16E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231E2"/>
    <w:multiLevelType w:val="hybridMultilevel"/>
    <w:tmpl w:val="BD74B5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2428963">
    <w:abstractNumId w:val="6"/>
  </w:num>
  <w:num w:numId="2" w16cid:durableId="1997492649">
    <w:abstractNumId w:val="2"/>
  </w:num>
  <w:num w:numId="3" w16cid:durableId="1271474251">
    <w:abstractNumId w:val="7"/>
  </w:num>
  <w:num w:numId="4" w16cid:durableId="26571510">
    <w:abstractNumId w:val="1"/>
  </w:num>
  <w:num w:numId="5" w16cid:durableId="1164054926">
    <w:abstractNumId w:val="5"/>
  </w:num>
  <w:num w:numId="6" w16cid:durableId="1764958580">
    <w:abstractNumId w:val="0"/>
  </w:num>
  <w:num w:numId="7" w16cid:durableId="1888450208">
    <w:abstractNumId w:val="4"/>
  </w:num>
  <w:num w:numId="8" w16cid:durableId="523909436">
    <w:abstractNumId w:val="8"/>
  </w:num>
  <w:num w:numId="9" w16cid:durableId="1199508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AE"/>
    <w:rsid w:val="00014029"/>
    <w:rsid w:val="00023391"/>
    <w:rsid w:val="00025065"/>
    <w:rsid w:val="00031ADC"/>
    <w:rsid w:val="0006015D"/>
    <w:rsid w:val="00063CEC"/>
    <w:rsid w:val="00070C36"/>
    <w:rsid w:val="00083F99"/>
    <w:rsid w:val="0008527C"/>
    <w:rsid w:val="000A7D8A"/>
    <w:rsid w:val="000C47D2"/>
    <w:rsid w:val="000D3B20"/>
    <w:rsid w:val="000E53AD"/>
    <w:rsid w:val="000F00A9"/>
    <w:rsid w:val="000F5A25"/>
    <w:rsid w:val="001122DB"/>
    <w:rsid w:val="00112F1E"/>
    <w:rsid w:val="00115935"/>
    <w:rsid w:val="0013617E"/>
    <w:rsid w:val="00153CFE"/>
    <w:rsid w:val="00155D63"/>
    <w:rsid w:val="001613C6"/>
    <w:rsid w:val="001818B9"/>
    <w:rsid w:val="00190786"/>
    <w:rsid w:val="001A1147"/>
    <w:rsid w:val="001B20CE"/>
    <w:rsid w:val="001B42CC"/>
    <w:rsid w:val="001B7B61"/>
    <w:rsid w:val="00211C7D"/>
    <w:rsid w:val="00215E6C"/>
    <w:rsid w:val="00235871"/>
    <w:rsid w:val="00250865"/>
    <w:rsid w:val="00274ECA"/>
    <w:rsid w:val="0028198E"/>
    <w:rsid w:val="00285023"/>
    <w:rsid w:val="00286C23"/>
    <w:rsid w:val="002A7C8C"/>
    <w:rsid w:val="002D093F"/>
    <w:rsid w:val="002F1E8F"/>
    <w:rsid w:val="003127BF"/>
    <w:rsid w:val="003336E7"/>
    <w:rsid w:val="003504EA"/>
    <w:rsid w:val="003605B7"/>
    <w:rsid w:val="00362532"/>
    <w:rsid w:val="00362ACB"/>
    <w:rsid w:val="00373EDB"/>
    <w:rsid w:val="0038760E"/>
    <w:rsid w:val="00394774"/>
    <w:rsid w:val="003954F1"/>
    <w:rsid w:val="003A1133"/>
    <w:rsid w:val="003A5729"/>
    <w:rsid w:val="003A6D84"/>
    <w:rsid w:val="003C38DF"/>
    <w:rsid w:val="003C7C1C"/>
    <w:rsid w:val="003D39F3"/>
    <w:rsid w:val="003F0EAE"/>
    <w:rsid w:val="004059A0"/>
    <w:rsid w:val="004206D1"/>
    <w:rsid w:val="00430954"/>
    <w:rsid w:val="004346F8"/>
    <w:rsid w:val="00462EC9"/>
    <w:rsid w:val="004633A9"/>
    <w:rsid w:val="00466401"/>
    <w:rsid w:val="00491489"/>
    <w:rsid w:val="00492601"/>
    <w:rsid w:val="004B0F3C"/>
    <w:rsid w:val="004E3599"/>
    <w:rsid w:val="00530901"/>
    <w:rsid w:val="005469A1"/>
    <w:rsid w:val="005507CE"/>
    <w:rsid w:val="00552FB0"/>
    <w:rsid w:val="00565FCE"/>
    <w:rsid w:val="00572F07"/>
    <w:rsid w:val="0059495B"/>
    <w:rsid w:val="00595B6B"/>
    <w:rsid w:val="005A1A7F"/>
    <w:rsid w:val="005A7004"/>
    <w:rsid w:val="005B0996"/>
    <w:rsid w:val="005B7F7B"/>
    <w:rsid w:val="005D0D08"/>
    <w:rsid w:val="005D206D"/>
    <w:rsid w:val="005F0C07"/>
    <w:rsid w:val="005F190B"/>
    <w:rsid w:val="005F2343"/>
    <w:rsid w:val="00602DB5"/>
    <w:rsid w:val="00617207"/>
    <w:rsid w:val="006172BA"/>
    <w:rsid w:val="006256C6"/>
    <w:rsid w:val="00631923"/>
    <w:rsid w:val="006400ED"/>
    <w:rsid w:val="00653051"/>
    <w:rsid w:val="006804F6"/>
    <w:rsid w:val="00684921"/>
    <w:rsid w:val="006A1CEB"/>
    <w:rsid w:val="006A7351"/>
    <w:rsid w:val="006C0211"/>
    <w:rsid w:val="006D13DB"/>
    <w:rsid w:val="006D69F2"/>
    <w:rsid w:val="006E05AF"/>
    <w:rsid w:val="006E3646"/>
    <w:rsid w:val="006E6B8D"/>
    <w:rsid w:val="006F194E"/>
    <w:rsid w:val="006F21FF"/>
    <w:rsid w:val="00702082"/>
    <w:rsid w:val="00706A51"/>
    <w:rsid w:val="00713668"/>
    <w:rsid w:val="007148AF"/>
    <w:rsid w:val="007174D0"/>
    <w:rsid w:val="007176BB"/>
    <w:rsid w:val="00727C44"/>
    <w:rsid w:val="00740AD4"/>
    <w:rsid w:val="007455A0"/>
    <w:rsid w:val="007626E2"/>
    <w:rsid w:val="007666D0"/>
    <w:rsid w:val="00782920"/>
    <w:rsid w:val="007833BB"/>
    <w:rsid w:val="007B3C34"/>
    <w:rsid w:val="007C0E4F"/>
    <w:rsid w:val="007D5EE0"/>
    <w:rsid w:val="007D7D85"/>
    <w:rsid w:val="007E5FE2"/>
    <w:rsid w:val="007F3E5C"/>
    <w:rsid w:val="008171C9"/>
    <w:rsid w:val="008222E0"/>
    <w:rsid w:val="00837E03"/>
    <w:rsid w:val="00844E29"/>
    <w:rsid w:val="008571DF"/>
    <w:rsid w:val="00861BFA"/>
    <w:rsid w:val="00867957"/>
    <w:rsid w:val="008717DB"/>
    <w:rsid w:val="008B0F30"/>
    <w:rsid w:val="008B1861"/>
    <w:rsid w:val="008B2451"/>
    <w:rsid w:val="008E3F54"/>
    <w:rsid w:val="008F138D"/>
    <w:rsid w:val="008F3717"/>
    <w:rsid w:val="00905E3E"/>
    <w:rsid w:val="00912AA8"/>
    <w:rsid w:val="009360AF"/>
    <w:rsid w:val="00937BAA"/>
    <w:rsid w:val="00937CEA"/>
    <w:rsid w:val="00940997"/>
    <w:rsid w:val="0095175A"/>
    <w:rsid w:val="00961AAA"/>
    <w:rsid w:val="009674DB"/>
    <w:rsid w:val="0099465B"/>
    <w:rsid w:val="009A4872"/>
    <w:rsid w:val="009D4D6D"/>
    <w:rsid w:val="009E1234"/>
    <w:rsid w:val="009E1EA9"/>
    <w:rsid w:val="009E5D39"/>
    <w:rsid w:val="009E70F7"/>
    <w:rsid w:val="009F6235"/>
    <w:rsid w:val="009F6CAD"/>
    <w:rsid w:val="00A06784"/>
    <w:rsid w:val="00A128BA"/>
    <w:rsid w:val="00A227BC"/>
    <w:rsid w:val="00A52440"/>
    <w:rsid w:val="00A723E2"/>
    <w:rsid w:val="00A72A72"/>
    <w:rsid w:val="00A7367E"/>
    <w:rsid w:val="00A756EF"/>
    <w:rsid w:val="00A91797"/>
    <w:rsid w:val="00A96DAA"/>
    <w:rsid w:val="00A97F66"/>
    <w:rsid w:val="00AB3675"/>
    <w:rsid w:val="00AB4A11"/>
    <w:rsid w:val="00AB5890"/>
    <w:rsid w:val="00AB7B6A"/>
    <w:rsid w:val="00AC0305"/>
    <w:rsid w:val="00AF1170"/>
    <w:rsid w:val="00AF4296"/>
    <w:rsid w:val="00B00D90"/>
    <w:rsid w:val="00B014D2"/>
    <w:rsid w:val="00B07120"/>
    <w:rsid w:val="00B171F0"/>
    <w:rsid w:val="00B262D5"/>
    <w:rsid w:val="00B30ABA"/>
    <w:rsid w:val="00B33F6E"/>
    <w:rsid w:val="00B419A4"/>
    <w:rsid w:val="00B47446"/>
    <w:rsid w:val="00B5334A"/>
    <w:rsid w:val="00B546CF"/>
    <w:rsid w:val="00B9321A"/>
    <w:rsid w:val="00BA5B9E"/>
    <w:rsid w:val="00BB2B51"/>
    <w:rsid w:val="00BC1C3B"/>
    <w:rsid w:val="00BD2D6D"/>
    <w:rsid w:val="00BD501E"/>
    <w:rsid w:val="00BD756C"/>
    <w:rsid w:val="00C13754"/>
    <w:rsid w:val="00C20BD2"/>
    <w:rsid w:val="00C31129"/>
    <w:rsid w:val="00C46D11"/>
    <w:rsid w:val="00C51983"/>
    <w:rsid w:val="00C64010"/>
    <w:rsid w:val="00C657BD"/>
    <w:rsid w:val="00C8011C"/>
    <w:rsid w:val="00C84C13"/>
    <w:rsid w:val="00C85977"/>
    <w:rsid w:val="00C9740A"/>
    <w:rsid w:val="00CB0062"/>
    <w:rsid w:val="00CB05B6"/>
    <w:rsid w:val="00CB45D2"/>
    <w:rsid w:val="00CE1607"/>
    <w:rsid w:val="00CE5D8A"/>
    <w:rsid w:val="00CF136D"/>
    <w:rsid w:val="00CF686E"/>
    <w:rsid w:val="00D227EE"/>
    <w:rsid w:val="00D31225"/>
    <w:rsid w:val="00D43EBB"/>
    <w:rsid w:val="00D5693F"/>
    <w:rsid w:val="00D574DB"/>
    <w:rsid w:val="00DC1CD7"/>
    <w:rsid w:val="00DC37E5"/>
    <w:rsid w:val="00DC4BBE"/>
    <w:rsid w:val="00DC775B"/>
    <w:rsid w:val="00DE7C94"/>
    <w:rsid w:val="00DF0027"/>
    <w:rsid w:val="00E01608"/>
    <w:rsid w:val="00E1011C"/>
    <w:rsid w:val="00E22CC0"/>
    <w:rsid w:val="00E427A6"/>
    <w:rsid w:val="00E62300"/>
    <w:rsid w:val="00E648C2"/>
    <w:rsid w:val="00E65655"/>
    <w:rsid w:val="00E66BAB"/>
    <w:rsid w:val="00E90C1E"/>
    <w:rsid w:val="00E92447"/>
    <w:rsid w:val="00E95CAE"/>
    <w:rsid w:val="00E97038"/>
    <w:rsid w:val="00EA3591"/>
    <w:rsid w:val="00EB4721"/>
    <w:rsid w:val="00ED59C3"/>
    <w:rsid w:val="00ED7C6C"/>
    <w:rsid w:val="00EE5377"/>
    <w:rsid w:val="00F21943"/>
    <w:rsid w:val="00F322DB"/>
    <w:rsid w:val="00F41CCF"/>
    <w:rsid w:val="00F460EE"/>
    <w:rsid w:val="00F56D21"/>
    <w:rsid w:val="00F66525"/>
    <w:rsid w:val="00F66BD3"/>
    <w:rsid w:val="00F8257B"/>
    <w:rsid w:val="00F83782"/>
    <w:rsid w:val="00F852DD"/>
    <w:rsid w:val="00F904EA"/>
    <w:rsid w:val="00FC6D9A"/>
    <w:rsid w:val="07E12CF3"/>
    <w:rsid w:val="52099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B3C1"/>
  <w15:chartTrackingRefBased/>
  <w15:docId w15:val="{F18F4369-FD9A-4181-813C-E8045D54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AE"/>
  </w:style>
  <w:style w:type="paragraph" w:styleId="Heading1">
    <w:name w:val="heading 1"/>
    <w:basedOn w:val="Normal"/>
    <w:next w:val="Normal"/>
    <w:link w:val="Heading1Char"/>
    <w:uiPriority w:val="9"/>
    <w:qFormat/>
    <w:rsid w:val="005D0D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C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95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CAE"/>
  </w:style>
  <w:style w:type="paragraph" w:styleId="ListParagraph">
    <w:name w:val="List Paragraph"/>
    <w:basedOn w:val="Normal"/>
    <w:uiPriority w:val="34"/>
    <w:qFormat/>
    <w:rsid w:val="00E95CAE"/>
    <w:pPr>
      <w:ind w:left="720"/>
      <w:contextualSpacing/>
    </w:pPr>
  </w:style>
  <w:style w:type="paragraph" w:styleId="Header">
    <w:name w:val="header"/>
    <w:basedOn w:val="Normal"/>
    <w:link w:val="HeaderChar"/>
    <w:uiPriority w:val="99"/>
    <w:unhideWhenUsed/>
    <w:rsid w:val="00E95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CAE"/>
  </w:style>
  <w:style w:type="character" w:styleId="Hyperlink">
    <w:name w:val="Hyperlink"/>
    <w:basedOn w:val="DefaultParagraphFont"/>
    <w:uiPriority w:val="99"/>
    <w:unhideWhenUsed/>
    <w:rsid w:val="004B0F3C"/>
    <w:rPr>
      <w:color w:val="0563C1" w:themeColor="hyperlink"/>
      <w:u w:val="single"/>
    </w:rPr>
  </w:style>
  <w:style w:type="character" w:styleId="UnresolvedMention">
    <w:name w:val="Unresolved Mention"/>
    <w:basedOn w:val="DefaultParagraphFont"/>
    <w:uiPriority w:val="99"/>
    <w:semiHidden/>
    <w:unhideWhenUsed/>
    <w:rsid w:val="00112F1E"/>
    <w:rPr>
      <w:color w:val="605E5C"/>
      <w:shd w:val="clear" w:color="auto" w:fill="E1DFDD"/>
    </w:rPr>
  </w:style>
  <w:style w:type="character" w:customStyle="1" w:styleId="Heading1Char">
    <w:name w:val="Heading 1 Char"/>
    <w:basedOn w:val="DefaultParagraphFont"/>
    <w:link w:val="Heading1"/>
    <w:uiPriority w:val="9"/>
    <w:rsid w:val="005D0D0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A4872"/>
    <w:rPr>
      <w:sz w:val="16"/>
      <w:szCs w:val="16"/>
    </w:rPr>
  </w:style>
  <w:style w:type="paragraph" w:styleId="CommentText">
    <w:name w:val="annotation text"/>
    <w:basedOn w:val="Normal"/>
    <w:link w:val="CommentTextChar"/>
    <w:uiPriority w:val="99"/>
    <w:unhideWhenUsed/>
    <w:rsid w:val="009A4872"/>
    <w:pPr>
      <w:spacing w:line="240" w:lineRule="auto"/>
    </w:pPr>
    <w:rPr>
      <w:sz w:val="20"/>
      <w:szCs w:val="20"/>
    </w:rPr>
  </w:style>
  <w:style w:type="character" w:customStyle="1" w:styleId="CommentTextChar">
    <w:name w:val="Comment Text Char"/>
    <w:basedOn w:val="DefaultParagraphFont"/>
    <w:link w:val="CommentText"/>
    <w:uiPriority w:val="99"/>
    <w:rsid w:val="009A4872"/>
    <w:rPr>
      <w:sz w:val="20"/>
      <w:szCs w:val="20"/>
    </w:rPr>
  </w:style>
  <w:style w:type="paragraph" w:styleId="CommentSubject">
    <w:name w:val="annotation subject"/>
    <w:basedOn w:val="CommentText"/>
    <w:next w:val="CommentText"/>
    <w:link w:val="CommentSubjectChar"/>
    <w:uiPriority w:val="99"/>
    <w:semiHidden/>
    <w:unhideWhenUsed/>
    <w:rsid w:val="009A4872"/>
    <w:rPr>
      <w:b/>
      <w:bCs/>
    </w:rPr>
  </w:style>
  <w:style w:type="character" w:customStyle="1" w:styleId="CommentSubjectChar">
    <w:name w:val="Comment Subject Char"/>
    <w:basedOn w:val="CommentTextChar"/>
    <w:link w:val="CommentSubject"/>
    <w:uiPriority w:val="99"/>
    <w:semiHidden/>
    <w:rsid w:val="009A4872"/>
    <w:rPr>
      <w:b/>
      <w:bCs/>
      <w:sz w:val="20"/>
      <w:szCs w:val="20"/>
    </w:rPr>
  </w:style>
  <w:style w:type="character" w:styleId="FollowedHyperlink">
    <w:name w:val="FollowedHyperlink"/>
    <w:basedOn w:val="DefaultParagraphFont"/>
    <w:uiPriority w:val="99"/>
    <w:semiHidden/>
    <w:unhideWhenUsed/>
    <w:rsid w:val="009E5D39"/>
    <w:rPr>
      <w:color w:val="954F72" w:themeColor="followedHyperlink"/>
      <w:u w:val="single"/>
    </w:rPr>
  </w:style>
  <w:style w:type="character" w:styleId="Strong">
    <w:name w:val="Strong"/>
    <w:basedOn w:val="DefaultParagraphFont"/>
    <w:uiPriority w:val="22"/>
    <w:qFormat/>
    <w:rsid w:val="00083F99"/>
    <w:rPr>
      <w:b/>
      <w:bCs/>
    </w:rPr>
  </w:style>
  <w:style w:type="paragraph" w:styleId="Revision">
    <w:name w:val="Revision"/>
    <w:hidden/>
    <w:uiPriority w:val="99"/>
    <w:semiHidden/>
    <w:rsid w:val="00B41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078">
      <w:bodyDiv w:val="1"/>
      <w:marLeft w:val="0"/>
      <w:marRight w:val="0"/>
      <w:marTop w:val="0"/>
      <w:marBottom w:val="0"/>
      <w:divBdr>
        <w:top w:val="none" w:sz="0" w:space="0" w:color="auto"/>
        <w:left w:val="none" w:sz="0" w:space="0" w:color="auto"/>
        <w:bottom w:val="none" w:sz="0" w:space="0" w:color="auto"/>
        <w:right w:val="none" w:sz="0" w:space="0" w:color="auto"/>
      </w:divBdr>
      <w:divsChild>
        <w:div w:id="322634719">
          <w:marLeft w:val="0"/>
          <w:marRight w:val="0"/>
          <w:marTop w:val="0"/>
          <w:marBottom w:val="0"/>
          <w:divBdr>
            <w:top w:val="none" w:sz="0" w:space="0" w:color="auto"/>
            <w:left w:val="none" w:sz="0" w:space="0" w:color="auto"/>
            <w:bottom w:val="none" w:sz="0" w:space="0" w:color="auto"/>
            <w:right w:val="none" w:sz="0" w:space="0" w:color="auto"/>
          </w:divBdr>
          <w:divsChild>
            <w:div w:id="1171023903">
              <w:marLeft w:val="0"/>
              <w:marRight w:val="0"/>
              <w:marTop w:val="0"/>
              <w:marBottom w:val="0"/>
              <w:divBdr>
                <w:top w:val="none" w:sz="0" w:space="0" w:color="auto"/>
                <w:left w:val="none" w:sz="0" w:space="0" w:color="auto"/>
                <w:bottom w:val="none" w:sz="0" w:space="0" w:color="auto"/>
                <w:right w:val="none" w:sz="0" w:space="0" w:color="auto"/>
              </w:divBdr>
              <w:divsChild>
                <w:div w:id="273176264">
                  <w:marLeft w:val="0"/>
                  <w:marRight w:val="0"/>
                  <w:marTop w:val="0"/>
                  <w:marBottom w:val="0"/>
                  <w:divBdr>
                    <w:top w:val="none" w:sz="0" w:space="0" w:color="auto"/>
                    <w:left w:val="none" w:sz="0" w:space="0" w:color="auto"/>
                    <w:bottom w:val="none" w:sz="0" w:space="0" w:color="auto"/>
                    <w:right w:val="none" w:sz="0" w:space="0" w:color="auto"/>
                  </w:divBdr>
                  <w:divsChild>
                    <w:div w:id="1676222460">
                      <w:marLeft w:val="0"/>
                      <w:marRight w:val="0"/>
                      <w:marTop w:val="0"/>
                      <w:marBottom w:val="0"/>
                      <w:divBdr>
                        <w:top w:val="none" w:sz="0" w:space="0" w:color="auto"/>
                        <w:left w:val="none" w:sz="0" w:space="0" w:color="auto"/>
                        <w:bottom w:val="none" w:sz="0" w:space="0" w:color="auto"/>
                        <w:right w:val="none" w:sz="0" w:space="0" w:color="auto"/>
                      </w:divBdr>
                      <w:divsChild>
                        <w:div w:id="1408377768">
                          <w:marLeft w:val="0"/>
                          <w:marRight w:val="0"/>
                          <w:marTop w:val="0"/>
                          <w:marBottom w:val="0"/>
                          <w:divBdr>
                            <w:top w:val="none" w:sz="0" w:space="0" w:color="auto"/>
                            <w:left w:val="none" w:sz="0" w:space="0" w:color="auto"/>
                            <w:bottom w:val="none" w:sz="0" w:space="0" w:color="auto"/>
                            <w:right w:val="none" w:sz="0" w:space="0" w:color="auto"/>
                          </w:divBdr>
                          <w:divsChild>
                            <w:div w:id="12790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7584">
      <w:bodyDiv w:val="1"/>
      <w:marLeft w:val="0"/>
      <w:marRight w:val="0"/>
      <w:marTop w:val="0"/>
      <w:marBottom w:val="0"/>
      <w:divBdr>
        <w:top w:val="none" w:sz="0" w:space="0" w:color="auto"/>
        <w:left w:val="none" w:sz="0" w:space="0" w:color="auto"/>
        <w:bottom w:val="none" w:sz="0" w:space="0" w:color="auto"/>
        <w:right w:val="none" w:sz="0" w:space="0" w:color="auto"/>
      </w:divBdr>
    </w:div>
    <w:div w:id="93983959">
      <w:bodyDiv w:val="1"/>
      <w:marLeft w:val="0"/>
      <w:marRight w:val="0"/>
      <w:marTop w:val="0"/>
      <w:marBottom w:val="0"/>
      <w:divBdr>
        <w:top w:val="none" w:sz="0" w:space="0" w:color="auto"/>
        <w:left w:val="none" w:sz="0" w:space="0" w:color="auto"/>
        <w:bottom w:val="none" w:sz="0" w:space="0" w:color="auto"/>
        <w:right w:val="none" w:sz="0" w:space="0" w:color="auto"/>
      </w:divBdr>
    </w:div>
    <w:div w:id="116682621">
      <w:bodyDiv w:val="1"/>
      <w:marLeft w:val="0"/>
      <w:marRight w:val="0"/>
      <w:marTop w:val="0"/>
      <w:marBottom w:val="0"/>
      <w:divBdr>
        <w:top w:val="none" w:sz="0" w:space="0" w:color="auto"/>
        <w:left w:val="none" w:sz="0" w:space="0" w:color="auto"/>
        <w:bottom w:val="none" w:sz="0" w:space="0" w:color="auto"/>
        <w:right w:val="none" w:sz="0" w:space="0" w:color="auto"/>
      </w:divBdr>
    </w:div>
    <w:div w:id="226109478">
      <w:bodyDiv w:val="1"/>
      <w:marLeft w:val="0"/>
      <w:marRight w:val="0"/>
      <w:marTop w:val="0"/>
      <w:marBottom w:val="0"/>
      <w:divBdr>
        <w:top w:val="none" w:sz="0" w:space="0" w:color="auto"/>
        <w:left w:val="none" w:sz="0" w:space="0" w:color="auto"/>
        <w:bottom w:val="none" w:sz="0" w:space="0" w:color="auto"/>
        <w:right w:val="none" w:sz="0" w:space="0" w:color="auto"/>
      </w:divBdr>
    </w:div>
    <w:div w:id="417603669">
      <w:bodyDiv w:val="1"/>
      <w:marLeft w:val="0"/>
      <w:marRight w:val="0"/>
      <w:marTop w:val="0"/>
      <w:marBottom w:val="0"/>
      <w:divBdr>
        <w:top w:val="none" w:sz="0" w:space="0" w:color="auto"/>
        <w:left w:val="none" w:sz="0" w:space="0" w:color="auto"/>
        <w:bottom w:val="none" w:sz="0" w:space="0" w:color="auto"/>
        <w:right w:val="none" w:sz="0" w:space="0" w:color="auto"/>
      </w:divBdr>
    </w:div>
    <w:div w:id="508057562">
      <w:bodyDiv w:val="1"/>
      <w:marLeft w:val="0"/>
      <w:marRight w:val="0"/>
      <w:marTop w:val="0"/>
      <w:marBottom w:val="0"/>
      <w:divBdr>
        <w:top w:val="none" w:sz="0" w:space="0" w:color="auto"/>
        <w:left w:val="none" w:sz="0" w:space="0" w:color="auto"/>
        <w:bottom w:val="none" w:sz="0" w:space="0" w:color="auto"/>
        <w:right w:val="none" w:sz="0" w:space="0" w:color="auto"/>
      </w:divBdr>
    </w:div>
    <w:div w:id="553083186">
      <w:bodyDiv w:val="1"/>
      <w:marLeft w:val="0"/>
      <w:marRight w:val="0"/>
      <w:marTop w:val="0"/>
      <w:marBottom w:val="0"/>
      <w:divBdr>
        <w:top w:val="none" w:sz="0" w:space="0" w:color="auto"/>
        <w:left w:val="none" w:sz="0" w:space="0" w:color="auto"/>
        <w:bottom w:val="none" w:sz="0" w:space="0" w:color="auto"/>
        <w:right w:val="none" w:sz="0" w:space="0" w:color="auto"/>
      </w:divBdr>
    </w:div>
    <w:div w:id="605507359">
      <w:bodyDiv w:val="1"/>
      <w:marLeft w:val="0"/>
      <w:marRight w:val="0"/>
      <w:marTop w:val="0"/>
      <w:marBottom w:val="0"/>
      <w:divBdr>
        <w:top w:val="none" w:sz="0" w:space="0" w:color="auto"/>
        <w:left w:val="none" w:sz="0" w:space="0" w:color="auto"/>
        <w:bottom w:val="none" w:sz="0" w:space="0" w:color="auto"/>
        <w:right w:val="none" w:sz="0" w:space="0" w:color="auto"/>
      </w:divBdr>
    </w:div>
    <w:div w:id="616572375">
      <w:bodyDiv w:val="1"/>
      <w:marLeft w:val="0"/>
      <w:marRight w:val="0"/>
      <w:marTop w:val="0"/>
      <w:marBottom w:val="0"/>
      <w:divBdr>
        <w:top w:val="none" w:sz="0" w:space="0" w:color="auto"/>
        <w:left w:val="none" w:sz="0" w:space="0" w:color="auto"/>
        <w:bottom w:val="none" w:sz="0" w:space="0" w:color="auto"/>
        <w:right w:val="none" w:sz="0" w:space="0" w:color="auto"/>
      </w:divBdr>
    </w:div>
    <w:div w:id="702898945">
      <w:bodyDiv w:val="1"/>
      <w:marLeft w:val="0"/>
      <w:marRight w:val="0"/>
      <w:marTop w:val="0"/>
      <w:marBottom w:val="0"/>
      <w:divBdr>
        <w:top w:val="none" w:sz="0" w:space="0" w:color="auto"/>
        <w:left w:val="none" w:sz="0" w:space="0" w:color="auto"/>
        <w:bottom w:val="none" w:sz="0" w:space="0" w:color="auto"/>
        <w:right w:val="none" w:sz="0" w:space="0" w:color="auto"/>
      </w:divBdr>
    </w:div>
    <w:div w:id="715396933">
      <w:bodyDiv w:val="1"/>
      <w:marLeft w:val="0"/>
      <w:marRight w:val="0"/>
      <w:marTop w:val="0"/>
      <w:marBottom w:val="0"/>
      <w:divBdr>
        <w:top w:val="none" w:sz="0" w:space="0" w:color="auto"/>
        <w:left w:val="none" w:sz="0" w:space="0" w:color="auto"/>
        <w:bottom w:val="none" w:sz="0" w:space="0" w:color="auto"/>
        <w:right w:val="none" w:sz="0" w:space="0" w:color="auto"/>
      </w:divBdr>
    </w:div>
    <w:div w:id="734550672">
      <w:bodyDiv w:val="1"/>
      <w:marLeft w:val="0"/>
      <w:marRight w:val="0"/>
      <w:marTop w:val="0"/>
      <w:marBottom w:val="0"/>
      <w:divBdr>
        <w:top w:val="none" w:sz="0" w:space="0" w:color="auto"/>
        <w:left w:val="none" w:sz="0" w:space="0" w:color="auto"/>
        <w:bottom w:val="none" w:sz="0" w:space="0" w:color="auto"/>
        <w:right w:val="none" w:sz="0" w:space="0" w:color="auto"/>
      </w:divBdr>
    </w:div>
    <w:div w:id="756444132">
      <w:bodyDiv w:val="1"/>
      <w:marLeft w:val="0"/>
      <w:marRight w:val="0"/>
      <w:marTop w:val="0"/>
      <w:marBottom w:val="0"/>
      <w:divBdr>
        <w:top w:val="none" w:sz="0" w:space="0" w:color="auto"/>
        <w:left w:val="none" w:sz="0" w:space="0" w:color="auto"/>
        <w:bottom w:val="none" w:sz="0" w:space="0" w:color="auto"/>
        <w:right w:val="none" w:sz="0" w:space="0" w:color="auto"/>
      </w:divBdr>
    </w:div>
    <w:div w:id="813302616">
      <w:bodyDiv w:val="1"/>
      <w:marLeft w:val="0"/>
      <w:marRight w:val="0"/>
      <w:marTop w:val="0"/>
      <w:marBottom w:val="0"/>
      <w:divBdr>
        <w:top w:val="none" w:sz="0" w:space="0" w:color="auto"/>
        <w:left w:val="none" w:sz="0" w:space="0" w:color="auto"/>
        <w:bottom w:val="none" w:sz="0" w:space="0" w:color="auto"/>
        <w:right w:val="none" w:sz="0" w:space="0" w:color="auto"/>
      </w:divBdr>
    </w:div>
    <w:div w:id="824394336">
      <w:bodyDiv w:val="1"/>
      <w:marLeft w:val="0"/>
      <w:marRight w:val="0"/>
      <w:marTop w:val="0"/>
      <w:marBottom w:val="0"/>
      <w:divBdr>
        <w:top w:val="none" w:sz="0" w:space="0" w:color="auto"/>
        <w:left w:val="none" w:sz="0" w:space="0" w:color="auto"/>
        <w:bottom w:val="none" w:sz="0" w:space="0" w:color="auto"/>
        <w:right w:val="none" w:sz="0" w:space="0" w:color="auto"/>
      </w:divBdr>
    </w:div>
    <w:div w:id="865022696">
      <w:bodyDiv w:val="1"/>
      <w:marLeft w:val="0"/>
      <w:marRight w:val="0"/>
      <w:marTop w:val="0"/>
      <w:marBottom w:val="0"/>
      <w:divBdr>
        <w:top w:val="none" w:sz="0" w:space="0" w:color="auto"/>
        <w:left w:val="none" w:sz="0" w:space="0" w:color="auto"/>
        <w:bottom w:val="none" w:sz="0" w:space="0" w:color="auto"/>
        <w:right w:val="none" w:sz="0" w:space="0" w:color="auto"/>
      </w:divBdr>
    </w:div>
    <w:div w:id="918947949">
      <w:bodyDiv w:val="1"/>
      <w:marLeft w:val="0"/>
      <w:marRight w:val="0"/>
      <w:marTop w:val="0"/>
      <w:marBottom w:val="0"/>
      <w:divBdr>
        <w:top w:val="none" w:sz="0" w:space="0" w:color="auto"/>
        <w:left w:val="none" w:sz="0" w:space="0" w:color="auto"/>
        <w:bottom w:val="none" w:sz="0" w:space="0" w:color="auto"/>
        <w:right w:val="none" w:sz="0" w:space="0" w:color="auto"/>
      </w:divBdr>
    </w:div>
    <w:div w:id="921337150">
      <w:bodyDiv w:val="1"/>
      <w:marLeft w:val="0"/>
      <w:marRight w:val="0"/>
      <w:marTop w:val="0"/>
      <w:marBottom w:val="0"/>
      <w:divBdr>
        <w:top w:val="none" w:sz="0" w:space="0" w:color="auto"/>
        <w:left w:val="none" w:sz="0" w:space="0" w:color="auto"/>
        <w:bottom w:val="none" w:sz="0" w:space="0" w:color="auto"/>
        <w:right w:val="none" w:sz="0" w:space="0" w:color="auto"/>
      </w:divBdr>
    </w:div>
    <w:div w:id="991836339">
      <w:bodyDiv w:val="1"/>
      <w:marLeft w:val="0"/>
      <w:marRight w:val="0"/>
      <w:marTop w:val="0"/>
      <w:marBottom w:val="0"/>
      <w:divBdr>
        <w:top w:val="none" w:sz="0" w:space="0" w:color="auto"/>
        <w:left w:val="none" w:sz="0" w:space="0" w:color="auto"/>
        <w:bottom w:val="none" w:sz="0" w:space="0" w:color="auto"/>
        <w:right w:val="none" w:sz="0" w:space="0" w:color="auto"/>
      </w:divBdr>
    </w:div>
    <w:div w:id="1085107446">
      <w:bodyDiv w:val="1"/>
      <w:marLeft w:val="0"/>
      <w:marRight w:val="0"/>
      <w:marTop w:val="0"/>
      <w:marBottom w:val="0"/>
      <w:divBdr>
        <w:top w:val="none" w:sz="0" w:space="0" w:color="auto"/>
        <w:left w:val="none" w:sz="0" w:space="0" w:color="auto"/>
        <w:bottom w:val="none" w:sz="0" w:space="0" w:color="auto"/>
        <w:right w:val="none" w:sz="0" w:space="0" w:color="auto"/>
      </w:divBdr>
    </w:div>
    <w:div w:id="1240285483">
      <w:bodyDiv w:val="1"/>
      <w:marLeft w:val="0"/>
      <w:marRight w:val="0"/>
      <w:marTop w:val="0"/>
      <w:marBottom w:val="0"/>
      <w:divBdr>
        <w:top w:val="none" w:sz="0" w:space="0" w:color="auto"/>
        <w:left w:val="none" w:sz="0" w:space="0" w:color="auto"/>
        <w:bottom w:val="none" w:sz="0" w:space="0" w:color="auto"/>
        <w:right w:val="none" w:sz="0" w:space="0" w:color="auto"/>
      </w:divBdr>
    </w:div>
    <w:div w:id="1292788713">
      <w:bodyDiv w:val="1"/>
      <w:marLeft w:val="0"/>
      <w:marRight w:val="0"/>
      <w:marTop w:val="0"/>
      <w:marBottom w:val="0"/>
      <w:divBdr>
        <w:top w:val="none" w:sz="0" w:space="0" w:color="auto"/>
        <w:left w:val="none" w:sz="0" w:space="0" w:color="auto"/>
        <w:bottom w:val="none" w:sz="0" w:space="0" w:color="auto"/>
        <w:right w:val="none" w:sz="0" w:space="0" w:color="auto"/>
      </w:divBdr>
    </w:div>
    <w:div w:id="1322780280">
      <w:bodyDiv w:val="1"/>
      <w:marLeft w:val="0"/>
      <w:marRight w:val="0"/>
      <w:marTop w:val="0"/>
      <w:marBottom w:val="0"/>
      <w:divBdr>
        <w:top w:val="none" w:sz="0" w:space="0" w:color="auto"/>
        <w:left w:val="none" w:sz="0" w:space="0" w:color="auto"/>
        <w:bottom w:val="none" w:sz="0" w:space="0" w:color="auto"/>
        <w:right w:val="none" w:sz="0" w:space="0" w:color="auto"/>
      </w:divBdr>
    </w:div>
    <w:div w:id="1371686299">
      <w:bodyDiv w:val="1"/>
      <w:marLeft w:val="0"/>
      <w:marRight w:val="0"/>
      <w:marTop w:val="0"/>
      <w:marBottom w:val="0"/>
      <w:divBdr>
        <w:top w:val="none" w:sz="0" w:space="0" w:color="auto"/>
        <w:left w:val="none" w:sz="0" w:space="0" w:color="auto"/>
        <w:bottom w:val="none" w:sz="0" w:space="0" w:color="auto"/>
        <w:right w:val="none" w:sz="0" w:space="0" w:color="auto"/>
      </w:divBdr>
    </w:div>
    <w:div w:id="1477138157">
      <w:bodyDiv w:val="1"/>
      <w:marLeft w:val="0"/>
      <w:marRight w:val="0"/>
      <w:marTop w:val="0"/>
      <w:marBottom w:val="0"/>
      <w:divBdr>
        <w:top w:val="none" w:sz="0" w:space="0" w:color="auto"/>
        <w:left w:val="none" w:sz="0" w:space="0" w:color="auto"/>
        <w:bottom w:val="none" w:sz="0" w:space="0" w:color="auto"/>
        <w:right w:val="none" w:sz="0" w:space="0" w:color="auto"/>
      </w:divBdr>
    </w:div>
    <w:div w:id="1561866527">
      <w:bodyDiv w:val="1"/>
      <w:marLeft w:val="0"/>
      <w:marRight w:val="0"/>
      <w:marTop w:val="0"/>
      <w:marBottom w:val="0"/>
      <w:divBdr>
        <w:top w:val="none" w:sz="0" w:space="0" w:color="auto"/>
        <w:left w:val="none" w:sz="0" w:space="0" w:color="auto"/>
        <w:bottom w:val="none" w:sz="0" w:space="0" w:color="auto"/>
        <w:right w:val="none" w:sz="0" w:space="0" w:color="auto"/>
      </w:divBdr>
    </w:div>
    <w:div w:id="1564440259">
      <w:bodyDiv w:val="1"/>
      <w:marLeft w:val="0"/>
      <w:marRight w:val="0"/>
      <w:marTop w:val="0"/>
      <w:marBottom w:val="0"/>
      <w:divBdr>
        <w:top w:val="none" w:sz="0" w:space="0" w:color="auto"/>
        <w:left w:val="none" w:sz="0" w:space="0" w:color="auto"/>
        <w:bottom w:val="none" w:sz="0" w:space="0" w:color="auto"/>
        <w:right w:val="none" w:sz="0" w:space="0" w:color="auto"/>
      </w:divBdr>
    </w:div>
    <w:div w:id="1579559025">
      <w:bodyDiv w:val="1"/>
      <w:marLeft w:val="0"/>
      <w:marRight w:val="0"/>
      <w:marTop w:val="0"/>
      <w:marBottom w:val="0"/>
      <w:divBdr>
        <w:top w:val="none" w:sz="0" w:space="0" w:color="auto"/>
        <w:left w:val="none" w:sz="0" w:space="0" w:color="auto"/>
        <w:bottom w:val="none" w:sz="0" w:space="0" w:color="auto"/>
        <w:right w:val="none" w:sz="0" w:space="0" w:color="auto"/>
      </w:divBdr>
    </w:div>
    <w:div w:id="1638686091">
      <w:bodyDiv w:val="1"/>
      <w:marLeft w:val="0"/>
      <w:marRight w:val="0"/>
      <w:marTop w:val="0"/>
      <w:marBottom w:val="0"/>
      <w:divBdr>
        <w:top w:val="none" w:sz="0" w:space="0" w:color="auto"/>
        <w:left w:val="none" w:sz="0" w:space="0" w:color="auto"/>
        <w:bottom w:val="none" w:sz="0" w:space="0" w:color="auto"/>
        <w:right w:val="none" w:sz="0" w:space="0" w:color="auto"/>
      </w:divBdr>
    </w:div>
    <w:div w:id="1678344017">
      <w:bodyDiv w:val="1"/>
      <w:marLeft w:val="0"/>
      <w:marRight w:val="0"/>
      <w:marTop w:val="0"/>
      <w:marBottom w:val="0"/>
      <w:divBdr>
        <w:top w:val="none" w:sz="0" w:space="0" w:color="auto"/>
        <w:left w:val="none" w:sz="0" w:space="0" w:color="auto"/>
        <w:bottom w:val="none" w:sz="0" w:space="0" w:color="auto"/>
        <w:right w:val="none" w:sz="0" w:space="0" w:color="auto"/>
      </w:divBdr>
    </w:div>
    <w:div w:id="1680738428">
      <w:bodyDiv w:val="1"/>
      <w:marLeft w:val="0"/>
      <w:marRight w:val="0"/>
      <w:marTop w:val="0"/>
      <w:marBottom w:val="0"/>
      <w:divBdr>
        <w:top w:val="none" w:sz="0" w:space="0" w:color="auto"/>
        <w:left w:val="none" w:sz="0" w:space="0" w:color="auto"/>
        <w:bottom w:val="none" w:sz="0" w:space="0" w:color="auto"/>
        <w:right w:val="none" w:sz="0" w:space="0" w:color="auto"/>
      </w:divBdr>
    </w:div>
    <w:div w:id="1694918663">
      <w:bodyDiv w:val="1"/>
      <w:marLeft w:val="0"/>
      <w:marRight w:val="0"/>
      <w:marTop w:val="0"/>
      <w:marBottom w:val="0"/>
      <w:divBdr>
        <w:top w:val="none" w:sz="0" w:space="0" w:color="auto"/>
        <w:left w:val="none" w:sz="0" w:space="0" w:color="auto"/>
        <w:bottom w:val="none" w:sz="0" w:space="0" w:color="auto"/>
        <w:right w:val="none" w:sz="0" w:space="0" w:color="auto"/>
      </w:divBdr>
      <w:divsChild>
        <w:div w:id="977536663">
          <w:marLeft w:val="0"/>
          <w:marRight w:val="0"/>
          <w:marTop w:val="0"/>
          <w:marBottom w:val="0"/>
          <w:divBdr>
            <w:top w:val="none" w:sz="0" w:space="0" w:color="auto"/>
            <w:left w:val="none" w:sz="0" w:space="0" w:color="auto"/>
            <w:bottom w:val="none" w:sz="0" w:space="0" w:color="auto"/>
            <w:right w:val="none" w:sz="0" w:space="0" w:color="auto"/>
          </w:divBdr>
          <w:divsChild>
            <w:div w:id="1107116785">
              <w:marLeft w:val="0"/>
              <w:marRight w:val="0"/>
              <w:marTop w:val="0"/>
              <w:marBottom w:val="0"/>
              <w:divBdr>
                <w:top w:val="none" w:sz="0" w:space="0" w:color="auto"/>
                <w:left w:val="none" w:sz="0" w:space="0" w:color="auto"/>
                <w:bottom w:val="none" w:sz="0" w:space="0" w:color="auto"/>
                <w:right w:val="none" w:sz="0" w:space="0" w:color="auto"/>
              </w:divBdr>
              <w:divsChild>
                <w:div w:id="940528314">
                  <w:marLeft w:val="0"/>
                  <w:marRight w:val="0"/>
                  <w:marTop w:val="0"/>
                  <w:marBottom w:val="0"/>
                  <w:divBdr>
                    <w:top w:val="none" w:sz="0" w:space="0" w:color="auto"/>
                    <w:left w:val="none" w:sz="0" w:space="0" w:color="auto"/>
                    <w:bottom w:val="none" w:sz="0" w:space="0" w:color="auto"/>
                    <w:right w:val="none" w:sz="0" w:space="0" w:color="auto"/>
                  </w:divBdr>
                  <w:divsChild>
                    <w:div w:id="570819289">
                      <w:marLeft w:val="0"/>
                      <w:marRight w:val="0"/>
                      <w:marTop w:val="0"/>
                      <w:marBottom w:val="0"/>
                      <w:divBdr>
                        <w:top w:val="none" w:sz="0" w:space="0" w:color="auto"/>
                        <w:left w:val="none" w:sz="0" w:space="0" w:color="auto"/>
                        <w:bottom w:val="none" w:sz="0" w:space="0" w:color="auto"/>
                        <w:right w:val="none" w:sz="0" w:space="0" w:color="auto"/>
                      </w:divBdr>
                      <w:divsChild>
                        <w:div w:id="992176673">
                          <w:marLeft w:val="0"/>
                          <w:marRight w:val="0"/>
                          <w:marTop w:val="0"/>
                          <w:marBottom w:val="0"/>
                          <w:divBdr>
                            <w:top w:val="none" w:sz="0" w:space="0" w:color="auto"/>
                            <w:left w:val="none" w:sz="0" w:space="0" w:color="auto"/>
                            <w:bottom w:val="none" w:sz="0" w:space="0" w:color="auto"/>
                            <w:right w:val="none" w:sz="0" w:space="0" w:color="auto"/>
                          </w:divBdr>
                          <w:divsChild>
                            <w:div w:id="15589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3799">
      <w:bodyDiv w:val="1"/>
      <w:marLeft w:val="0"/>
      <w:marRight w:val="0"/>
      <w:marTop w:val="0"/>
      <w:marBottom w:val="0"/>
      <w:divBdr>
        <w:top w:val="none" w:sz="0" w:space="0" w:color="auto"/>
        <w:left w:val="none" w:sz="0" w:space="0" w:color="auto"/>
        <w:bottom w:val="none" w:sz="0" w:space="0" w:color="auto"/>
        <w:right w:val="none" w:sz="0" w:space="0" w:color="auto"/>
      </w:divBdr>
    </w:div>
    <w:div w:id="1811365149">
      <w:bodyDiv w:val="1"/>
      <w:marLeft w:val="0"/>
      <w:marRight w:val="0"/>
      <w:marTop w:val="0"/>
      <w:marBottom w:val="0"/>
      <w:divBdr>
        <w:top w:val="none" w:sz="0" w:space="0" w:color="auto"/>
        <w:left w:val="none" w:sz="0" w:space="0" w:color="auto"/>
        <w:bottom w:val="none" w:sz="0" w:space="0" w:color="auto"/>
        <w:right w:val="none" w:sz="0" w:space="0" w:color="auto"/>
      </w:divBdr>
    </w:div>
    <w:div w:id="1859805709">
      <w:bodyDiv w:val="1"/>
      <w:marLeft w:val="0"/>
      <w:marRight w:val="0"/>
      <w:marTop w:val="0"/>
      <w:marBottom w:val="0"/>
      <w:divBdr>
        <w:top w:val="none" w:sz="0" w:space="0" w:color="auto"/>
        <w:left w:val="none" w:sz="0" w:space="0" w:color="auto"/>
        <w:bottom w:val="none" w:sz="0" w:space="0" w:color="auto"/>
        <w:right w:val="none" w:sz="0" w:space="0" w:color="auto"/>
      </w:divBdr>
    </w:div>
    <w:div w:id="1896773082">
      <w:bodyDiv w:val="1"/>
      <w:marLeft w:val="0"/>
      <w:marRight w:val="0"/>
      <w:marTop w:val="0"/>
      <w:marBottom w:val="0"/>
      <w:divBdr>
        <w:top w:val="none" w:sz="0" w:space="0" w:color="auto"/>
        <w:left w:val="none" w:sz="0" w:space="0" w:color="auto"/>
        <w:bottom w:val="none" w:sz="0" w:space="0" w:color="auto"/>
        <w:right w:val="none" w:sz="0" w:space="0" w:color="auto"/>
      </w:divBdr>
    </w:div>
    <w:div w:id="2113354934">
      <w:bodyDiv w:val="1"/>
      <w:marLeft w:val="0"/>
      <w:marRight w:val="0"/>
      <w:marTop w:val="0"/>
      <w:marBottom w:val="0"/>
      <w:divBdr>
        <w:top w:val="none" w:sz="0" w:space="0" w:color="auto"/>
        <w:left w:val="none" w:sz="0" w:space="0" w:color="auto"/>
        <w:bottom w:val="none" w:sz="0" w:space="0" w:color="auto"/>
        <w:right w:val="none" w:sz="0" w:space="0" w:color="auto"/>
      </w:divBdr>
    </w:div>
    <w:div w:id="211697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gov/search-results-detail/351071" TargetMode="External"/><Relationship Id="rId18" Type="http://schemas.openxmlformats.org/officeDocument/2006/relationships/hyperlink" Target="https://links-1.govdelivery.com/CL0/https:%2F%2Fwww.rd.usda.gov%2Fabout-rd%2Fstate-offices/1/0100019177637678-a09e9277-ecb5-4dcd-bc59-eceb2bb29701-000000/SYSKVkkMrjfUhajkQaIVGYhRVNM-iWwy1-IUlIC9PCY=367" TargetMode="External"/><Relationship Id="rId26" Type="http://schemas.openxmlformats.org/officeDocument/2006/relationships/hyperlink" Target="https://form.jotform.com/200064023739144" TargetMode="External"/><Relationship Id="rId39" Type="http://schemas.openxmlformats.org/officeDocument/2006/relationships/hyperlink" Target="https://www.epa.gov/sites/default/files/2015-12/documents/rural_self_assessment_121815.pdf" TargetMode="External"/><Relationship Id="rId3" Type="http://schemas.openxmlformats.org/officeDocument/2006/relationships/customXml" Target="../customXml/item3.xml"/><Relationship Id="rId21" Type="http://schemas.openxmlformats.org/officeDocument/2006/relationships/hyperlink" Target="https://fema.zoomgov.com/webinar/register/WN_OBuMqhRpTli15V6jWX4ayA" TargetMode="External"/><Relationship Id="rId34" Type="http://schemas.openxmlformats.org/officeDocument/2006/relationships/hyperlink" Target="https://www.epa.gov/smartgrowth/sustainable-communities-accelerator-network" TargetMode="External"/><Relationship Id="rId42" Type="http://schemas.openxmlformats.org/officeDocument/2006/relationships/hyperlink" Target="mailto:LongTermRecovery@caloes.ca.gov"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a.gov/inflation-reduction-act/inflation-reduction-act-community-change-grants-program" TargetMode="External"/><Relationship Id="rId17" Type="http://schemas.openxmlformats.org/officeDocument/2006/relationships/hyperlink" Target="https://ibank.ca.gov/climate-financing/climate-catalyst-program/" TargetMode="External"/><Relationship Id="rId25" Type="http://schemas.openxmlformats.org/officeDocument/2006/relationships/hyperlink" Target="https://dot.ca.gov/-/media/dot-media/programs/civil-rights/documents/business-resources/the-road-to-do-business-with-caltrans-contracting-and-procurement-guide-a11y.pdf" TargetMode="External"/><Relationship Id="rId33" Type="http://schemas.openxmlformats.org/officeDocument/2006/relationships/hyperlink" Target="https://www.climateresolve.org/grant-writing-assistance-program/" TargetMode="External"/><Relationship Id="rId38" Type="http://schemas.openxmlformats.org/officeDocument/2006/relationships/hyperlink" Target="https://www.epa.gov/sites/default/files/2019-07/documents/regional_resilience_toolkit.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ants.ca.gov/grants/senate-bill-1-sea-level-rise-adaptation-planning-grant-program/" TargetMode="External"/><Relationship Id="rId20" Type="http://schemas.openxmlformats.org/officeDocument/2006/relationships/hyperlink" Target="https://fema.zoomgov.com/webinar/register/WN_OBuMqhRpTli15V6jWX4ayA" TargetMode="External"/><Relationship Id="rId29" Type="http://schemas.openxmlformats.org/officeDocument/2006/relationships/hyperlink" Target="https://training.ncdpcourses.org/browse/instructor-led-v/climate-per-419/courses/per-419-mn" TargetMode="External"/><Relationship Id="rId41" Type="http://schemas.openxmlformats.org/officeDocument/2006/relationships/hyperlink" Target="https://coast.noaa.gov/digitalcoast/tools/sl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sdot.zoomgov.com/webinar/register/WN_LbmU7tzrRKGUKAPRL2q2lg" TargetMode="External"/><Relationship Id="rId32" Type="http://schemas.openxmlformats.org/officeDocument/2006/relationships/hyperlink" Target="https://chamber-foundation.files.svdcdn.com/production/documents/Resilience-in-a-Box-Workbook.pdf?dm=1697837052" TargetMode="External"/><Relationship Id="rId37" Type="http://schemas.openxmlformats.org/officeDocument/2006/relationships/hyperlink" Target="http://url6130.epa.mediaroom.com/ls/click?upn=u001.iqz6hAvLdUl-2FaSixKUG3i5M7-2Ftp15QiEbe05KkhTN1WG7UCIU6dg91jf9xW-2Bgn64nnh6f5PcFzKUthuSg5k6pA-3D-3D114u_0vYRGyQ4AXLctOw5ybsy33M0TW-2FT-2F-2FxpAhTOs-2FFENGgcL3-2FAlY-2BciLx6mMAnqrGnuyxOFGITRqPEdM6QgTYc6Va-2BUHsj4mD0Yrks-2FZ1PGdF0D7YdnUQw7oBNht1yK5CPdfHrnPG508rQMD9p02MjU2BqSV-2B83QaOuEN2YN8n7ZxGf3F52Be-2B6zKMMk2ZrdWteXY7bObjxkRjjqGEG5RfnO-2FnDXMM3x-2BtdpOtovx44kU7ee7nDNUXGIXEGOm8FePW" TargetMode="External"/><Relationship Id="rId40" Type="http://schemas.openxmlformats.org/officeDocument/2006/relationships/hyperlink" Target="https://www.mbda.gov/business-resources/business-center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ply07.grants.gov/apply/login.faces?userType=applicant&amp;cleanSession=1&amp;INITIAL_LOAD=true" TargetMode="External"/><Relationship Id="rId23" Type="http://schemas.openxmlformats.org/officeDocument/2006/relationships/hyperlink" Target="https://www.iedconline.org/events/2024/12/05/webinars/data-s-role-as-a-catalyst-for-equitable-economic-development/?utm_campaign=Weekly%20Briefing%202024&amp;utm_medium=email&amp;_hsenc=p2ANqtz-_QIO01Qu8pfhMAHOZ1plN6B6GbjKfYZvfnVJ2HaiKQSEAkvqa87NW4bv-XGdeRHErSLpTVBEkz6plnyJtmdoCeUdm0tGKUF9FPgLARZxsz2eo8YUw&amp;_hsmi=329231408&amp;utm_content=329231408&amp;utm_source=hs_email" TargetMode="External"/><Relationship Id="rId28" Type="http://schemas.openxmlformats.org/officeDocument/2006/relationships/hyperlink" Target="https://training.ncdpcourses.org/browse/instructor-led-ilt/climate-per-420/per420-il/courses/per-420-il" TargetMode="External"/><Relationship Id="rId36" Type="http://schemas.openxmlformats.org/officeDocument/2006/relationships/hyperlink" Target="https://www.listoscalifornia.org/resources/?_search=ready%20guide" TargetMode="External"/><Relationship Id="rId10" Type="http://schemas.openxmlformats.org/officeDocument/2006/relationships/endnotes" Target="endnotes.xml"/><Relationship Id="rId19" Type="http://schemas.openxmlformats.org/officeDocument/2006/relationships/hyperlink" Target="http://www.cec.org/grant-programs/ej4climate/" TargetMode="External"/><Relationship Id="rId31" Type="http://schemas.openxmlformats.org/officeDocument/2006/relationships/hyperlink" Target="https://www.uschamberfoundation.org/solutions/disaster-response-and-resiliency/resilience-in-a-bo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s.gov/search-results-detail/356757" TargetMode="External"/><Relationship Id="rId22" Type="http://schemas.openxmlformats.org/officeDocument/2006/relationships/hyperlink" Target="https://www.indigenouscop.org/events-and-activities/tourism-and-culture-centered-economic-development" TargetMode="External"/><Relationship Id="rId27" Type="http://schemas.openxmlformats.org/officeDocument/2006/relationships/hyperlink" Target="https://training.ncdpcourses.org/browse/wbt/climate-and-equity/courses/awr-433-w" TargetMode="External"/><Relationship Id="rId30" Type="http://schemas.openxmlformats.org/officeDocument/2006/relationships/hyperlink" Target="https://ndptc.hawaii.edu/training/delivery/3818/" TargetMode="External"/><Relationship Id="rId35" Type="http://schemas.openxmlformats.org/officeDocument/2006/relationships/hyperlink" Target="https://www.epa.gov/smartgrowth/sustainable-communities-accelerator-network" TargetMode="External"/><Relationship Id="rId43" Type="http://schemas.openxmlformats.org/officeDocument/2006/relationships/hyperlink" Target="http://www.CalOES.ca.gov/R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546C6027A3F4CB37C91CFF6AAC897" ma:contentTypeVersion="18" ma:contentTypeDescription="Create a new document." ma:contentTypeScope="" ma:versionID="86d850fd6a65167cf40d076d14a77638">
  <xsd:schema xmlns:xsd="http://www.w3.org/2001/XMLSchema" xmlns:xs="http://www.w3.org/2001/XMLSchema" xmlns:p="http://schemas.microsoft.com/office/2006/metadata/properties" xmlns:ns1="http://schemas.microsoft.com/sharepoint/v3" xmlns:ns2="7f16be17-cfe5-49b8-8589-d9ca633ae888" xmlns:ns3="568022af-f2c7-4e74-a15b-66ff166fc602" xmlns:ns4="eb252336-8828-4f20-838e-5061d5b26e90" targetNamespace="http://schemas.microsoft.com/office/2006/metadata/properties" ma:root="true" ma:fieldsID="0bc995ce42a6e4dac088cdf0a7d6a706" ns1:_="" ns2:_="" ns3:_="" ns4:_="">
    <xsd:import namespace="http://schemas.microsoft.com/sharepoint/v3"/>
    <xsd:import namespace="7f16be17-cfe5-49b8-8589-d9ca633ae888"/>
    <xsd:import namespace="568022af-f2c7-4e74-a15b-66ff166fc602"/>
    <xsd:import namespace="eb252336-8828-4f20-838e-5061d5b26e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6be17-cfe5-49b8-8589-d9ca633ae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7d590f-785b-47eb-89c7-5590b8e7505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8022af-f2c7-4e74-a15b-66ff166fc6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52336-8828-4f20-838e-5061d5b26e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68a9355-3fab-4031-ae79-74cfea725ca0}" ma:internalName="TaxCatchAll" ma:showField="CatchAllData" ma:web="568022af-f2c7-4e74-a15b-66ff166fc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f16be17-cfe5-49b8-8589-d9ca633ae888">
      <Terms xmlns="http://schemas.microsoft.com/office/infopath/2007/PartnerControls"/>
    </lcf76f155ced4ddcb4097134ff3c332f>
    <TaxCatchAll xmlns="eb252336-8828-4f20-838e-5061d5b26e9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C2C44-2C55-49E5-93E6-9343715A1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16be17-cfe5-49b8-8589-d9ca633ae888"/>
    <ds:schemaRef ds:uri="568022af-f2c7-4e74-a15b-66ff166fc602"/>
    <ds:schemaRef ds:uri="eb252336-8828-4f20-838e-5061d5b26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CF187-07D7-41C4-A95A-5EFAB2BC748D}">
  <ds:schemaRefs>
    <ds:schemaRef ds:uri="http://schemas.microsoft.com/office/2006/metadata/properties"/>
    <ds:schemaRef ds:uri="http://schemas.microsoft.com/office/infopath/2007/PartnerControls"/>
    <ds:schemaRef ds:uri="http://schemas.microsoft.com/sharepoint/v3"/>
    <ds:schemaRef ds:uri="7f16be17-cfe5-49b8-8589-d9ca633ae888"/>
    <ds:schemaRef ds:uri="eb252336-8828-4f20-838e-5061d5b26e90"/>
  </ds:schemaRefs>
</ds:datastoreItem>
</file>

<file path=customXml/itemProps3.xml><?xml version="1.0" encoding="utf-8"?>
<ds:datastoreItem xmlns:ds="http://schemas.openxmlformats.org/officeDocument/2006/customXml" ds:itemID="{0E71D490-55FB-4E2E-9CB2-78A32358FAD9}">
  <ds:schemaRefs>
    <ds:schemaRef ds:uri="http://schemas.openxmlformats.org/officeDocument/2006/bibliography"/>
  </ds:schemaRefs>
</ds:datastoreItem>
</file>

<file path=customXml/itemProps4.xml><?xml version="1.0" encoding="utf-8"?>
<ds:datastoreItem xmlns:ds="http://schemas.openxmlformats.org/officeDocument/2006/customXml" ds:itemID="{BAC841E5-0448-469A-98FB-85A74381C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Links>
    <vt:vector size="174" baseType="variant">
      <vt:variant>
        <vt:i4>720973</vt:i4>
      </vt:variant>
      <vt:variant>
        <vt:i4>84</vt:i4>
      </vt:variant>
      <vt:variant>
        <vt:i4>0</vt:i4>
      </vt:variant>
      <vt:variant>
        <vt:i4>5</vt:i4>
      </vt:variant>
      <vt:variant>
        <vt:lpwstr>https://cencalbx.com/event/roadmap-to-success-a-caltrans-guide-for-small-businesses/</vt:lpwstr>
      </vt:variant>
      <vt:variant>
        <vt:lpwstr/>
      </vt:variant>
      <vt:variant>
        <vt:i4>83</vt:i4>
      </vt:variant>
      <vt:variant>
        <vt:i4>81</vt:i4>
      </vt:variant>
      <vt:variant>
        <vt:i4>0</vt:i4>
      </vt:variant>
      <vt:variant>
        <vt:i4>5</vt:i4>
      </vt:variant>
      <vt:variant>
        <vt:lpwstr>https://form.jotform.com/200064023739144</vt:lpwstr>
      </vt:variant>
      <vt:variant>
        <vt:lpwstr/>
      </vt:variant>
      <vt:variant>
        <vt:i4>7471123</vt:i4>
      </vt:variant>
      <vt:variant>
        <vt:i4>78</vt:i4>
      </vt:variant>
      <vt:variant>
        <vt:i4>0</vt:i4>
      </vt:variant>
      <vt:variant>
        <vt:i4>5</vt:i4>
      </vt:variant>
      <vt:variant>
        <vt:lpwstr>https://www.epa.gov/sites/default/files/2015-12/documents/rural_self_assessment_121815.pdf</vt:lpwstr>
      </vt:variant>
      <vt:variant>
        <vt:lpwstr/>
      </vt:variant>
      <vt:variant>
        <vt:i4>3735659</vt:i4>
      </vt:variant>
      <vt:variant>
        <vt:i4>75</vt:i4>
      </vt:variant>
      <vt:variant>
        <vt:i4>0</vt:i4>
      </vt:variant>
      <vt:variant>
        <vt:i4>5</vt:i4>
      </vt:variant>
      <vt:variant>
        <vt:lpwstr>https://www.epa.gov/sites/default/files/2019-07/documents/regional_resilience_toolkit.pdf</vt:lpwstr>
      </vt:variant>
      <vt:variant>
        <vt:lpwstr/>
      </vt:variant>
      <vt:variant>
        <vt:i4>4587639</vt:i4>
      </vt:variant>
      <vt:variant>
        <vt:i4>72</vt:i4>
      </vt:variant>
      <vt:variant>
        <vt:i4>0</vt:i4>
      </vt:variant>
      <vt:variant>
        <vt:i4>5</vt:i4>
      </vt:variant>
      <vt:variant>
        <vt:lpwstr>http://url6130.epa.mediaroom.com/ls/click?upn=u001.iqz6hAvLdUl-2FaSixKUG3i5M7-2Ftp15QiEbe05KkhTN1WG7UCIU6dg91jf9xW-2Bgn64nnh6f5PcFzKUthuSg5k6pA-3D-3D114u_0vYRGyQ4AXLctOw5ybsy33M0TW-2FT-2F-2FxpAhTOs-2FFENGgcL3-2FAlY-2BciLx6mMAnqrGnuyxOFGITRqPEdM6QgTYc6Va-2BUHsj4mD0Yrks-2FZ1PGdF0D7YdnUQw7oBNht1yK5CPdfHrnPG508rQMD9p02MjU2BqSV-2B83QaOuEN2YN8n7ZxGf3F52Be-2B6zKMMk2ZrdWteXY7bObjxkRjjqGEG5RfnO-2FnDXMM3x-2BtdpOtovx44kU7ee7nDNUXGIXEGOm8FePW</vt:lpwstr>
      </vt:variant>
      <vt:variant>
        <vt:lpwstr/>
      </vt:variant>
      <vt:variant>
        <vt:i4>5505141</vt:i4>
      </vt:variant>
      <vt:variant>
        <vt:i4>69</vt:i4>
      </vt:variant>
      <vt:variant>
        <vt:i4>0</vt:i4>
      </vt:variant>
      <vt:variant>
        <vt:i4>5</vt:i4>
      </vt:variant>
      <vt:variant>
        <vt:lpwstr>https://www.listoscalifornia.org/resources/?_search=ready%20guide</vt:lpwstr>
      </vt:variant>
      <vt:variant>
        <vt:lpwstr/>
      </vt:variant>
      <vt:variant>
        <vt:i4>7143521</vt:i4>
      </vt:variant>
      <vt:variant>
        <vt:i4>66</vt:i4>
      </vt:variant>
      <vt:variant>
        <vt:i4>0</vt:i4>
      </vt:variant>
      <vt:variant>
        <vt:i4>5</vt:i4>
      </vt:variant>
      <vt:variant>
        <vt:lpwstr>https://www.epa.gov/smartgrowth/sustainable-communities-accelerator-network</vt:lpwstr>
      </vt:variant>
      <vt:variant>
        <vt:lpwstr>How%20to%20Apply</vt:lpwstr>
      </vt:variant>
      <vt:variant>
        <vt:i4>2687031</vt:i4>
      </vt:variant>
      <vt:variant>
        <vt:i4>63</vt:i4>
      </vt:variant>
      <vt:variant>
        <vt:i4>0</vt:i4>
      </vt:variant>
      <vt:variant>
        <vt:i4>5</vt:i4>
      </vt:variant>
      <vt:variant>
        <vt:lpwstr>https://www.epa.gov/smartgrowth/sustainable-communities-accelerator-network</vt:lpwstr>
      </vt:variant>
      <vt:variant>
        <vt:lpwstr>About%20the%20Program</vt:lpwstr>
      </vt:variant>
      <vt:variant>
        <vt:i4>4849744</vt:i4>
      </vt:variant>
      <vt:variant>
        <vt:i4>60</vt:i4>
      </vt:variant>
      <vt:variant>
        <vt:i4>0</vt:i4>
      </vt:variant>
      <vt:variant>
        <vt:i4>5</vt:i4>
      </vt:variant>
      <vt:variant>
        <vt:lpwstr>https://www.climateresolve.org/grant-writing-assistance-program/</vt:lpwstr>
      </vt:variant>
      <vt:variant>
        <vt:lpwstr/>
      </vt:variant>
      <vt:variant>
        <vt:i4>6488160</vt:i4>
      </vt:variant>
      <vt:variant>
        <vt:i4>57</vt:i4>
      </vt:variant>
      <vt:variant>
        <vt:i4>0</vt:i4>
      </vt:variant>
      <vt:variant>
        <vt:i4>5</vt:i4>
      </vt:variant>
      <vt:variant>
        <vt:lpwstr>https://www.fema.gov/emergency-managers/national-preparedness/plan/resilience-guidance</vt:lpwstr>
      </vt:variant>
      <vt:variant>
        <vt:lpwstr/>
      </vt:variant>
      <vt:variant>
        <vt:i4>4653167</vt:i4>
      </vt:variant>
      <vt:variant>
        <vt:i4>54</vt:i4>
      </vt:variant>
      <vt:variant>
        <vt:i4>0</vt:i4>
      </vt:variant>
      <vt:variant>
        <vt:i4>5</vt:i4>
      </vt:variant>
      <vt:variant>
        <vt:lpwstr>https://chamber-foundation.files.svdcdn.com/production/documents/Resilience-in-a-Box-Workbook.pdf?dm=1697837052</vt:lpwstr>
      </vt:variant>
      <vt:variant>
        <vt:lpwstr>asset:30609@1</vt:lpwstr>
      </vt:variant>
      <vt:variant>
        <vt:i4>2752548</vt:i4>
      </vt:variant>
      <vt:variant>
        <vt:i4>51</vt:i4>
      </vt:variant>
      <vt:variant>
        <vt:i4>0</vt:i4>
      </vt:variant>
      <vt:variant>
        <vt:i4>5</vt:i4>
      </vt:variant>
      <vt:variant>
        <vt:lpwstr>https://www.uschamberfoundation.org/solutions/disaster-response-and-resiliency/resilience-in-a-box</vt:lpwstr>
      </vt:variant>
      <vt:variant>
        <vt:lpwstr/>
      </vt:variant>
      <vt:variant>
        <vt:i4>2293792</vt:i4>
      </vt:variant>
      <vt:variant>
        <vt:i4>48</vt:i4>
      </vt:variant>
      <vt:variant>
        <vt:i4>0</vt:i4>
      </vt:variant>
      <vt:variant>
        <vt:i4>5</vt:i4>
      </vt:variant>
      <vt:variant>
        <vt:lpwstr>https://training.ncdpcourses.org/browse/instructor-led-v/climate-per-419/courses/per-419-mn</vt:lpwstr>
      </vt:variant>
      <vt:variant>
        <vt:lpwstr/>
      </vt:variant>
      <vt:variant>
        <vt:i4>3997803</vt:i4>
      </vt:variant>
      <vt:variant>
        <vt:i4>45</vt:i4>
      </vt:variant>
      <vt:variant>
        <vt:i4>0</vt:i4>
      </vt:variant>
      <vt:variant>
        <vt:i4>5</vt:i4>
      </vt:variant>
      <vt:variant>
        <vt:lpwstr>https://training.ncdpcourses.org/browse/instructor-led-ilt/climate-per-420/per420-il/courses/per-420-il</vt:lpwstr>
      </vt:variant>
      <vt:variant>
        <vt:lpwstr/>
      </vt:variant>
      <vt:variant>
        <vt:i4>196691</vt:i4>
      </vt:variant>
      <vt:variant>
        <vt:i4>42</vt:i4>
      </vt:variant>
      <vt:variant>
        <vt:i4>0</vt:i4>
      </vt:variant>
      <vt:variant>
        <vt:i4>5</vt:i4>
      </vt:variant>
      <vt:variant>
        <vt:lpwstr>https://training.ncdpcourses.org/browse/wbt/climate-and-equity/courses/awr-433-w</vt:lpwstr>
      </vt:variant>
      <vt:variant>
        <vt:lpwstr/>
      </vt:variant>
      <vt:variant>
        <vt:i4>5963871</vt:i4>
      </vt:variant>
      <vt:variant>
        <vt:i4>39</vt:i4>
      </vt:variant>
      <vt:variant>
        <vt:i4>0</vt:i4>
      </vt:variant>
      <vt:variant>
        <vt:i4>5</vt:i4>
      </vt:variant>
      <vt:variant>
        <vt:lpwstr>https://www.iedconline.org/events/2024/12/05/webinars/data-s-role-as-a-catalyst-for-equitable-economic-development/?utm_campaign=Weekly%20Briefing%202024&amp;utm_medium=email&amp;_hsenc=p2ANqtz-_QIO01Qu8pfhMAHOZ1plN6B6GbjKfYZvfnVJ2HaiKQSEAkvqa87NW4bv-XGdeRHErSLpTVBEkz6plnyJtmdoCeUdm0tGKUF9FPgLARZxsz2eo8YUw&amp;_hsmi=329231408&amp;utm_content=329231408&amp;utm_source=hs_email</vt:lpwstr>
      </vt:variant>
      <vt:variant>
        <vt:lpwstr/>
      </vt:variant>
      <vt:variant>
        <vt:i4>851998</vt:i4>
      </vt:variant>
      <vt:variant>
        <vt:i4>36</vt:i4>
      </vt:variant>
      <vt:variant>
        <vt:i4>0</vt:i4>
      </vt:variant>
      <vt:variant>
        <vt:i4>5</vt:i4>
      </vt:variant>
      <vt:variant>
        <vt:lpwstr>https://www.indigenouscop.org/events-and-activities/tourism-and-culture-centered-economic-development</vt:lpwstr>
      </vt:variant>
      <vt:variant>
        <vt:lpwstr/>
      </vt:variant>
      <vt:variant>
        <vt:i4>851998</vt:i4>
      </vt:variant>
      <vt:variant>
        <vt:i4>33</vt:i4>
      </vt:variant>
      <vt:variant>
        <vt:i4>0</vt:i4>
      </vt:variant>
      <vt:variant>
        <vt:i4>5</vt:i4>
      </vt:variant>
      <vt:variant>
        <vt:lpwstr>https://www.indigenouscop.org/events-and-activities/tourism-and-culture-centered-economic-development</vt:lpwstr>
      </vt:variant>
      <vt:variant>
        <vt:lpwstr/>
      </vt:variant>
      <vt:variant>
        <vt:i4>6684694</vt:i4>
      </vt:variant>
      <vt:variant>
        <vt:i4>30</vt:i4>
      </vt:variant>
      <vt:variant>
        <vt:i4>0</vt:i4>
      </vt:variant>
      <vt:variant>
        <vt:i4>5</vt:i4>
      </vt:variant>
      <vt:variant>
        <vt:lpwstr>https://fema.zoomgov.com/webinar/register/WN_OBuMqhRpTli15V6jWX4ayA</vt:lpwstr>
      </vt:variant>
      <vt:variant>
        <vt:lpwstr>/registration</vt:lpwstr>
      </vt:variant>
      <vt:variant>
        <vt:i4>6684694</vt:i4>
      </vt:variant>
      <vt:variant>
        <vt:i4>27</vt:i4>
      </vt:variant>
      <vt:variant>
        <vt:i4>0</vt:i4>
      </vt:variant>
      <vt:variant>
        <vt:i4>5</vt:i4>
      </vt:variant>
      <vt:variant>
        <vt:lpwstr>https://fema.zoomgov.com/webinar/register/WN_OBuMqhRpTli15V6jWX4ayA</vt:lpwstr>
      </vt:variant>
      <vt:variant>
        <vt:lpwstr>/registration</vt:lpwstr>
      </vt:variant>
      <vt:variant>
        <vt:i4>5308437</vt:i4>
      </vt:variant>
      <vt:variant>
        <vt:i4>24</vt:i4>
      </vt:variant>
      <vt:variant>
        <vt:i4>0</vt:i4>
      </vt:variant>
      <vt:variant>
        <vt:i4>5</vt:i4>
      </vt:variant>
      <vt:variant>
        <vt:lpwstr>https://links-1.govdelivery.com/CL0/https:%2F%2Fwww.rd.usda.gov%2Fabout-rd%2Fstate-offices/1/0100019177637678-a09e9277-ecb5-4dcd-bc59-eceb2bb29701-000000/SYSKVkkMrjfUhajkQaIVGYhRVNM-iWwy1-IUlIC9PCY=367</vt:lpwstr>
      </vt:variant>
      <vt:variant>
        <vt:lpwstr/>
      </vt:variant>
      <vt:variant>
        <vt:i4>2949217</vt:i4>
      </vt:variant>
      <vt:variant>
        <vt:i4>21</vt:i4>
      </vt:variant>
      <vt:variant>
        <vt:i4>0</vt:i4>
      </vt:variant>
      <vt:variant>
        <vt:i4>5</vt:i4>
      </vt:variant>
      <vt:variant>
        <vt:lpwstr>https://www.rd.usda.gov/programs-services/business-programs/intermediary-relending-program</vt:lpwstr>
      </vt:variant>
      <vt:variant>
        <vt:lpwstr>overview</vt:lpwstr>
      </vt:variant>
      <vt:variant>
        <vt:i4>3735586</vt:i4>
      </vt:variant>
      <vt:variant>
        <vt:i4>18</vt:i4>
      </vt:variant>
      <vt:variant>
        <vt:i4>0</vt:i4>
      </vt:variant>
      <vt:variant>
        <vt:i4>5</vt:i4>
      </vt:variant>
      <vt:variant>
        <vt:lpwstr>https://ibank.ca.gov/climate-catalyst-intake-form/</vt:lpwstr>
      </vt:variant>
      <vt:variant>
        <vt:lpwstr/>
      </vt:variant>
      <vt:variant>
        <vt:i4>3604517</vt:i4>
      </vt:variant>
      <vt:variant>
        <vt:i4>15</vt:i4>
      </vt:variant>
      <vt:variant>
        <vt:i4>0</vt:i4>
      </vt:variant>
      <vt:variant>
        <vt:i4>5</vt:i4>
      </vt:variant>
      <vt:variant>
        <vt:lpwstr>https://www.eda.gov/funding/programs/build-to-scale?utm_medium=email&amp;utm_program=B2S&amp;utm_source=govdelivery&amp;utm_subject=2024_B2S_NOFO_Announcement&amp;utm_year=2024</vt:lpwstr>
      </vt:variant>
      <vt:variant>
        <vt:lpwstr/>
      </vt:variant>
      <vt:variant>
        <vt:i4>5832715</vt:i4>
      </vt:variant>
      <vt:variant>
        <vt:i4>12</vt:i4>
      </vt:variant>
      <vt:variant>
        <vt:i4>0</vt:i4>
      </vt:variant>
      <vt:variant>
        <vt:i4>5</vt:i4>
      </vt:variant>
      <vt:variant>
        <vt:lpwstr>https://www.grants.ca.gov/grants/senate-bill-1-sea-level-rise-adaptation-planning-grant-program/</vt:lpwstr>
      </vt:variant>
      <vt:variant>
        <vt:lpwstr/>
      </vt:variant>
      <vt:variant>
        <vt:i4>1114231</vt:i4>
      </vt:variant>
      <vt:variant>
        <vt:i4>9</vt:i4>
      </vt:variant>
      <vt:variant>
        <vt:i4>0</vt:i4>
      </vt:variant>
      <vt:variant>
        <vt:i4>5</vt:i4>
      </vt:variant>
      <vt:variant>
        <vt:lpwstr>https://apply07.grants.gov/apply/login.faces?userType=applicant&amp;cleanSession=1&amp;INITIAL_LOAD=true</vt:lpwstr>
      </vt:variant>
      <vt:variant>
        <vt:lpwstr/>
      </vt:variant>
      <vt:variant>
        <vt:i4>8061033</vt:i4>
      </vt:variant>
      <vt:variant>
        <vt:i4>6</vt:i4>
      </vt:variant>
      <vt:variant>
        <vt:i4>0</vt:i4>
      </vt:variant>
      <vt:variant>
        <vt:i4>5</vt:i4>
      </vt:variant>
      <vt:variant>
        <vt:lpwstr>https://www.grants.gov/search-results-detail/356757</vt:lpwstr>
      </vt:variant>
      <vt:variant>
        <vt:lpwstr/>
      </vt:variant>
      <vt:variant>
        <vt:i4>2556014</vt:i4>
      </vt:variant>
      <vt:variant>
        <vt:i4>3</vt:i4>
      </vt:variant>
      <vt:variant>
        <vt:i4>0</vt:i4>
      </vt:variant>
      <vt:variant>
        <vt:i4>5</vt:i4>
      </vt:variant>
      <vt:variant>
        <vt:lpwstr>https://grants.gov/search-results-detail/351071</vt:lpwstr>
      </vt:variant>
      <vt:variant>
        <vt:lpwstr/>
      </vt:variant>
      <vt:variant>
        <vt:i4>2687092</vt:i4>
      </vt:variant>
      <vt:variant>
        <vt:i4>0</vt:i4>
      </vt:variant>
      <vt:variant>
        <vt:i4>0</vt:i4>
      </vt:variant>
      <vt:variant>
        <vt:i4>5</vt:i4>
      </vt:variant>
      <vt:variant>
        <vt:lpwstr>https://www.epa.gov/inflation-reduction-act/inflation-reduction-act-community-change-grants-program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Risher, Hannah@CalOES</dc:creator>
  <cp:keywords/>
  <dc:description/>
  <cp:lastModifiedBy>MWalton</cp:lastModifiedBy>
  <cp:revision>5</cp:revision>
  <dcterms:created xsi:type="dcterms:W3CDTF">2024-11-08T20:11:00Z</dcterms:created>
  <dcterms:modified xsi:type="dcterms:W3CDTF">2024-11-08T20:17:00Z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0x010100F08546C6027A3F4CB37C91CFF6AAC897</vt:lpwstr>
  </property>
  <property fmtid="{D5CDD505-2E9C-101B-9397-08002B2CF9AE}" pid="3" name="MediaServiceImageTags">
    <vt:lpwstr/>
  </property>
</Properties>
</file>